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C2" w:rsidRPr="002730D1" w:rsidRDefault="007258C2" w:rsidP="002730D1">
      <w:pPr>
        <w:pStyle w:val="Rubrik1"/>
        <w:rPr>
          <w:rFonts w:ascii="Times New Roman" w:hAnsi="Times New Roman"/>
        </w:rPr>
      </w:pPr>
      <w:bookmarkStart w:id="0" w:name="_GoBack"/>
      <w:bookmarkEnd w:id="0"/>
      <w:r w:rsidRPr="002730D1">
        <w:rPr>
          <w:rFonts w:ascii="Times New Roman" w:hAnsi="Times New Roman"/>
        </w:rPr>
        <w:t>Mat och manikeism</w:t>
      </w:r>
    </w:p>
    <w:p w:rsidR="007258C2" w:rsidRPr="002730D1" w:rsidRDefault="007258C2" w:rsidP="002730D1">
      <w:pPr>
        <w:pStyle w:val="Rubrik2"/>
        <w:rPr>
          <w:rFonts w:ascii="Times New Roman" w:hAnsi="Times New Roman"/>
        </w:rPr>
      </w:pPr>
      <w:r w:rsidRPr="002730D1">
        <w:rPr>
          <w:rFonts w:ascii="Times New Roman" w:hAnsi="Times New Roman"/>
        </w:rPr>
        <w:t>Inledning</w:t>
      </w:r>
    </w:p>
    <w:p w:rsidR="00976603" w:rsidRPr="007B0ED8" w:rsidRDefault="00DE13BC" w:rsidP="00DE13BC">
      <w:pPr>
        <w:rPr>
          <w:rFonts w:ascii="Times New Roman" w:hAnsi="Times New Roman"/>
          <w:sz w:val="24"/>
          <w:szCs w:val="24"/>
        </w:rPr>
      </w:pPr>
      <w:r w:rsidRPr="007B0ED8">
        <w:rPr>
          <w:rFonts w:ascii="Times New Roman" w:hAnsi="Times New Roman"/>
          <w:sz w:val="24"/>
          <w:szCs w:val="24"/>
        </w:rPr>
        <w:t xml:space="preserve">Att skriva en artikel om matens betydelse inom manikeismen är något som </w:t>
      </w:r>
      <w:r w:rsidR="00C17EAB" w:rsidRPr="007B0ED8">
        <w:rPr>
          <w:rFonts w:ascii="Times New Roman" w:hAnsi="Times New Roman"/>
          <w:sz w:val="24"/>
          <w:szCs w:val="24"/>
        </w:rPr>
        <w:t xml:space="preserve">man kunde säga </w:t>
      </w:r>
      <w:r w:rsidRPr="007B0ED8">
        <w:rPr>
          <w:rFonts w:ascii="Times New Roman" w:hAnsi="Times New Roman"/>
          <w:sz w:val="24"/>
          <w:szCs w:val="24"/>
        </w:rPr>
        <w:t>ligger i tiden. De senaste 40 åren</w:t>
      </w:r>
      <w:r w:rsidR="007258C2" w:rsidRPr="007B0ED8">
        <w:rPr>
          <w:rFonts w:ascii="Times New Roman" w:hAnsi="Times New Roman"/>
          <w:sz w:val="24"/>
          <w:szCs w:val="24"/>
        </w:rPr>
        <w:t xml:space="preserve"> har </w:t>
      </w:r>
      <w:r w:rsidR="00236A5B" w:rsidRPr="007B0ED8">
        <w:rPr>
          <w:rFonts w:ascii="Times New Roman" w:hAnsi="Times New Roman"/>
          <w:sz w:val="24"/>
          <w:szCs w:val="24"/>
        </w:rPr>
        <w:t xml:space="preserve">forskare </w:t>
      </w:r>
      <w:r w:rsidR="007258C2" w:rsidRPr="007B0ED8">
        <w:rPr>
          <w:rFonts w:ascii="Times New Roman" w:hAnsi="Times New Roman"/>
          <w:sz w:val="24"/>
          <w:szCs w:val="24"/>
        </w:rPr>
        <w:t>flitigt studerat olika sociala faktorer inom antikvetenskaperna</w:t>
      </w:r>
      <w:r w:rsidR="00CC204E" w:rsidRPr="007B0ED8">
        <w:rPr>
          <w:rFonts w:ascii="Times New Roman" w:hAnsi="Times New Roman"/>
          <w:sz w:val="24"/>
          <w:szCs w:val="24"/>
        </w:rPr>
        <w:t xml:space="preserve"> och d</w:t>
      </w:r>
      <w:r w:rsidR="007258C2" w:rsidRPr="007B0ED8">
        <w:rPr>
          <w:rFonts w:ascii="Times New Roman" w:hAnsi="Times New Roman"/>
          <w:sz w:val="24"/>
          <w:szCs w:val="24"/>
        </w:rPr>
        <w:t>et finns flera skäl till det. Ett är behovet av att förfina arbetet inom den jämförande religionsvetenskapen. Med rätta har forskare kritiserats för att göra halsbrytande jämförelser utan att i tillräckligt hög utsträckning ta hänsyn till de olika kontexter där de fenomen som man jämfört förekommit.</w:t>
      </w:r>
      <w:r w:rsidR="00C17EAB" w:rsidRPr="007B0ED8">
        <w:rPr>
          <w:rFonts w:ascii="Times New Roman" w:hAnsi="Times New Roman"/>
          <w:sz w:val="24"/>
          <w:szCs w:val="24"/>
        </w:rPr>
        <w:t xml:space="preserve"> </w:t>
      </w:r>
      <w:r w:rsidR="00B765D8" w:rsidRPr="007B0ED8">
        <w:rPr>
          <w:rFonts w:ascii="Times New Roman" w:hAnsi="Times New Roman"/>
          <w:sz w:val="24"/>
          <w:szCs w:val="24"/>
        </w:rPr>
        <w:t>Disciplinen har</w:t>
      </w:r>
      <w:r w:rsidR="003A5CCE" w:rsidRPr="007B0ED8">
        <w:rPr>
          <w:rFonts w:ascii="Times New Roman" w:hAnsi="Times New Roman"/>
          <w:sz w:val="24"/>
          <w:szCs w:val="24"/>
        </w:rPr>
        <w:t xml:space="preserve"> i olyckliga fall lidit av </w:t>
      </w:r>
      <w:proofErr w:type="spellStart"/>
      <w:r w:rsidR="003A5CCE" w:rsidRPr="007B0ED8">
        <w:rPr>
          <w:rFonts w:ascii="Times New Roman" w:hAnsi="Times New Roman"/>
          <w:sz w:val="24"/>
          <w:szCs w:val="24"/>
        </w:rPr>
        <w:t>paral</w:t>
      </w:r>
      <w:r w:rsidR="00B765D8" w:rsidRPr="007B0ED8">
        <w:rPr>
          <w:rFonts w:ascii="Times New Roman" w:hAnsi="Times New Roman"/>
          <w:sz w:val="24"/>
          <w:szCs w:val="24"/>
        </w:rPr>
        <w:t>lelomani</w:t>
      </w:r>
      <w:proofErr w:type="spellEnd"/>
      <w:r w:rsidR="00B765D8" w:rsidRPr="007B0ED8">
        <w:rPr>
          <w:rFonts w:ascii="Times New Roman" w:hAnsi="Times New Roman"/>
          <w:sz w:val="24"/>
          <w:szCs w:val="24"/>
        </w:rPr>
        <w:t xml:space="preserve">. </w:t>
      </w:r>
      <w:r w:rsidR="00236A5B" w:rsidRPr="007B0ED8">
        <w:rPr>
          <w:rFonts w:ascii="Times New Roman" w:hAnsi="Times New Roman"/>
          <w:sz w:val="24"/>
          <w:szCs w:val="24"/>
        </w:rPr>
        <w:t xml:space="preserve">Precisionen i det jämförande studiet har emellertid ökat i och med att socialvetenskapliga angreppssätt börjat användas. Därmed har det jämförande religionshistoriska studiet tagit ett stort steg framåt vad gäller </w:t>
      </w:r>
      <w:proofErr w:type="spellStart"/>
      <w:r w:rsidR="00236A5B" w:rsidRPr="007B0ED8">
        <w:rPr>
          <w:rFonts w:ascii="Times New Roman" w:hAnsi="Times New Roman"/>
          <w:sz w:val="24"/>
          <w:szCs w:val="24"/>
        </w:rPr>
        <w:t>kontextualisering</w:t>
      </w:r>
      <w:proofErr w:type="spellEnd"/>
      <w:r w:rsidR="00236A5B" w:rsidRPr="007B0ED8">
        <w:rPr>
          <w:rFonts w:ascii="Times New Roman" w:hAnsi="Times New Roman"/>
          <w:sz w:val="24"/>
          <w:szCs w:val="24"/>
        </w:rPr>
        <w:t xml:space="preserve"> av de fenomen som jämförs. </w:t>
      </w:r>
      <w:r w:rsidR="00855EF6" w:rsidRPr="007B0ED8">
        <w:rPr>
          <w:rFonts w:ascii="Times New Roman" w:hAnsi="Times New Roman"/>
          <w:sz w:val="24"/>
          <w:szCs w:val="24"/>
        </w:rPr>
        <w:t>De socialvetenskapliga angrepp</w:t>
      </w:r>
      <w:r w:rsidR="003A5CCE" w:rsidRPr="007B0ED8">
        <w:rPr>
          <w:rFonts w:ascii="Times New Roman" w:hAnsi="Times New Roman"/>
          <w:sz w:val="24"/>
          <w:szCs w:val="24"/>
        </w:rPr>
        <w:t>s</w:t>
      </w:r>
      <w:r w:rsidR="00855EF6" w:rsidRPr="007B0ED8">
        <w:rPr>
          <w:rFonts w:ascii="Times New Roman" w:hAnsi="Times New Roman"/>
          <w:sz w:val="24"/>
          <w:szCs w:val="24"/>
        </w:rPr>
        <w:t xml:space="preserve">sätten kombineras givetvis med textstudier där medvetenheten om att många texter som tidigare ansetts ha varit ämnade att uttrycka en systematiserad dogmatisk uppfattning nu ofta anses vara utformade för att passa en viss kontext. Därmed inte sagt att olika textförfattare inte ”menade” vad de skrivit, men fokus, språkbruk och genre har anpassats efter mottagarna. </w:t>
      </w:r>
      <w:r w:rsidR="003D420F" w:rsidRPr="007B0ED8">
        <w:rPr>
          <w:rFonts w:ascii="Times New Roman" w:hAnsi="Times New Roman"/>
          <w:sz w:val="24"/>
          <w:szCs w:val="24"/>
        </w:rPr>
        <w:t xml:space="preserve">Sammanfattningsvis menar jag att man inom den nya jämförande religionsvetenskapen har vinnlagt sig om att de jämförda fenomenens olika kontexter lyfts fram innan jämförelserna gjorts. Detta har även lett till att dogmatiska texters kontextberoende understrukits och </w:t>
      </w:r>
      <w:r w:rsidR="00AC4DA8" w:rsidRPr="007B0ED8">
        <w:rPr>
          <w:rFonts w:ascii="Times New Roman" w:hAnsi="Times New Roman"/>
          <w:sz w:val="24"/>
          <w:szCs w:val="24"/>
        </w:rPr>
        <w:t>m</w:t>
      </w:r>
      <w:r w:rsidR="003D420F" w:rsidRPr="007B0ED8">
        <w:rPr>
          <w:rFonts w:ascii="Times New Roman" w:hAnsi="Times New Roman"/>
          <w:sz w:val="24"/>
          <w:szCs w:val="24"/>
        </w:rPr>
        <w:t xml:space="preserve">er svepande </w:t>
      </w:r>
      <w:proofErr w:type="spellStart"/>
      <w:r w:rsidR="003D420F" w:rsidRPr="007B0ED8">
        <w:rPr>
          <w:rFonts w:ascii="Times New Roman" w:hAnsi="Times New Roman"/>
          <w:sz w:val="24"/>
          <w:szCs w:val="24"/>
        </w:rPr>
        <w:t>ahistoriska</w:t>
      </w:r>
      <w:proofErr w:type="spellEnd"/>
      <w:r w:rsidR="003D420F" w:rsidRPr="007B0ED8">
        <w:rPr>
          <w:rFonts w:ascii="Times New Roman" w:hAnsi="Times New Roman"/>
          <w:sz w:val="24"/>
          <w:szCs w:val="24"/>
        </w:rPr>
        <w:t xml:space="preserve"> systematiska jämförelser </w:t>
      </w:r>
      <w:r w:rsidR="00AC4DA8" w:rsidRPr="007B0ED8">
        <w:rPr>
          <w:rFonts w:ascii="Times New Roman" w:hAnsi="Times New Roman"/>
          <w:sz w:val="24"/>
          <w:szCs w:val="24"/>
        </w:rPr>
        <w:t xml:space="preserve">spelar numera </w:t>
      </w:r>
      <w:r w:rsidR="003D420F" w:rsidRPr="007B0ED8">
        <w:rPr>
          <w:rFonts w:ascii="Times New Roman" w:hAnsi="Times New Roman"/>
          <w:sz w:val="24"/>
          <w:szCs w:val="24"/>
        </w:rPr>
        <w:t xml:space="preserve">en mer </w:t>
      </w:r>
      <w:r w:rsidR="00AC4DA8" w:rsidRPr="007B0ED8">
        <w:rPr>
          <w:rFonts w:ascii="Times New Roman" w:hAnsi="Times New Roman"/>
          <w:sz w:val="24"/>
          <w:szCs w:val="24"/>
        </w:rPr>
        <w:t xml:space="preserve">tillbakadragen </w:t>
      </w:r>
      <w:r w:rsidR="00976603" w:rsidRPr="007B0ED8">
        <w:rPr>
          <w:rFonts w:ascii="Times New Roman" w:hAnsi="Times New Roman"/>
          <w:sz w:val="24"/>
          <w:szCs w:val="24"/>
        </w:rPr>
        <w:t>roll.</w:t>
      </w:r>
    </w:p>
    <w:p w:rsidR="00EF3D18" w:rsidRPr="007B0ED8" w:rsidRDefault="00EF3D18" w:rsidP="00DE13BC">
      <w:pPr>
        <w:rPr>
          <w:rFonts w:ascii="Times New Roman" w:hAnsi="Times New Roman"/>
          <w:sz w:val="24"/>
          <w:szCs w:val="24"/>
        </w:rPr>
      </w:pPr>
    </w:p>
    <w:p w:rsidR="00023692" w:rsidRPr="007B0ED8" w:rsidRDefault="00855EF6" w:rsidP="00DE13BC">
      <w:pPr>
        <w:rPr>
          <w:rFonts w:ascii="Times New Roman" w:hAnsi="Times New Roman"/>
          <w:sz w:val="24"/>
          <w:szCs w:val="24"/>
        </w:rPr>
      </w:pPr>
      <w:r w:rsidRPr="007B0ED8">
        <w:rPr>
          <w:rFonts w:ascii="Times New Roman" w:hAnsi="Times New Roman"/>
          <w:sz w:val="24"/>
          <w:szCs w:val="24"/>
        </w:rPr>
        <w:t xml:space="preserve">För att understryka att man som modern jämförande religionsforskare är medveten om de krav som numera ställs på det jämförande studiet </w:t>
      </w:r>
      <w:r w:rsidR="005A7599" w:rsidRPr="007B0ED8">
        <w:rPr>
          <w:rFonts w:ascii="Times New Roman" w:hAnsi="Times New Roman"/>
          <w:sz w:val="24"/>
          <w:szCs w:val="24"/>
        </w:rPr>
        <w:t xml:space="preserve">har olika signalord använts för att distansera sig från ”traditionell” jämförande religionsvetenskap. </w:t>
      </w:r>
      <w:r w:rsidR="003A5CCE" w:rsidRPr="007B0ED8">
        <w:rPr>
          <w:rFonts w:ascii="Times New Roman" w:hAnsi="Times New Roman"/>
          <w:sz w:val="24"/>
          <w:szCs w:val="24"/>
        </w:rPr>
        <w:t>En e</w:t>
      </w:r>
      <w:r w:rsidR="00882541" w:rsidRPr="007B0ED8">
        <w:rPr>
          <w:rFonts w:ascii="Times New Roman" w:hAnsi="Times New Roman"/>
          <w:sz w:val="24"/>
          <w:szCs w:val="24"/>
        </w:rPr>
        <w:t xml:space="preserve">tikett som man idag gärna använder sig av är </w:t>
      </w:r>
      <w:r w:rsidR="00C17EAB" w:rsidRPr="007B0ED8">
        <w:rPr>
          <w:rFonts w:ascii="Times New Roman" w:hAnsi="Times New Roman"/>
          <w:sz w:val="24"/>
          <w:szCs w:val="24"/>
        </w:rPr>
        <w:t xml:space="preserve">new </w:t>
      </w:r>
      <w:proofErr w:type="spellStart"/>
      <w:r w:rsidR="00C17EAB" w:rsidRPr="007B0ED8">
        <w:rPr>
          <w:rFonts w:ascii="Times New Roman" w:hAnsi="Times New Roman"/>
          <w:sz w:val="24"/>
          <w:szCs w:val="24"/>
        </w:rPr>
        <w:t>comparativism</w:t>
      </w:r>
      <w:proofErr w:type="spellEnd"/>
      <w:r w:rsidR="00CC204E" w:rsidRPr="007B0ED8">
        <w:rPr>
          <w:rStyle w:val="Fotnotsreferens"/>
          <w:rFonts w:ascii="Times New Roman" w:hAnsi="Times New Roman"/>
          <w:sz w:val="24"/>
          <w:szCs w:val="24"/>
        </w:rPr>
        <w:footnoteReference w:id="1"/>
      </w:r>
      <w:r w:rsidR="00976603" w:rsidRPr="007B0ED8">
        <w:rPr>
          <w:rFonts w:ascii="Times New Roman" w:hAnsi="Times New Roman"/>
          <w:sz w:val="24"/>
          <w:szCs w:val="24"/>
        </w:rPr>
        <w:t xml:space="preserve"> och m</w:t>
      </w:r>
      <w:r w:rsidR="005E6BCD" w:rsidRPr="007B0ED8">
        <w:rPr>
          <w:rFonts w:ascii="Times New Roman" w:hAnsi="Times New Roman"/>
          <w:sz w:val="24"/>
          <w:szCs w:val="24"/>
        </w:rPr>
        <w:t>e</w:t>
      </w:r>
      <w:r w:rsidR="00976603" w:rsidRPr="007B0ED8">
        <w:rPr>
          <w:rFonts w:ascii="Times New Roman" w:hAnsi="Times New Roman"/>
          <w:sz w:val="24"/>
          <w:szCs w:val="24"/>
        </w:rPr>
        <w:t>n</w:t>
      </w:r>
      <w:r w:rsidR="005E6BCD" w:rsidRPr="007B0ED8">
        <w:rPr>
          <w:rFonts w:ascii="Times New Roman" w:hAnsi="Times New Roman"/>
          <w:sz w:val="24"/>
          <w:szCs w:val="24"/>
        </w:rPr>
        <w:t xml:space="preserve">ar då religionsvetenskapliga studier där de jämförda fenomenen i högre grad kontextualiseras. </w:t>
      </w:r>
      <w:r w:rsidR="00882541" w:rsidRPr="007B0ED8">
        <w:rPr>
          <w:rFonts w:ascii="Times New Roman" w:hAnsi="Times New Roman"/>
          <w:sz w:val="24"/>
          <w:szCs w:val="24"/>
        </w:rPr>
        <w:t xml:space="preserve">Här måste man dock vara varsam och inte dra äldre religionsforskare över </w:t>
      </w:r>
      <w:r w:rsidR="00F71406" w:rsidRPr="007B0ED8">
        <w:rPr>
          <w:rFonts w:ascii="Times New Roman" w:hAnsi="Times New Roman"/>
          <w:sz w:val="24"/>
          <w:szCs w:val="24"/>
        </w:rPr>
        <w:t xml:space="preserve">en </w:t>
      </w:r>
      <w:r w:rsidR="00882541" w:rsidRPr="007B0ED8">
        <w:rPr>
          <w:rFonts w:ascii="Times New Roman" w:hAnsi="Times New Roman"/>
          <w:sz w:val="24"/>
          <w:szCs w:val="24"/>
        </w:rPr>
        <w:t xml:space="preserve">kam. Äldre tiders jämförande religionshistoria är </w:t>
      </w:r>
      <w:r w:rsidR="006903F1" w:rsidRPr="007B0ED8">
        <w:rPr>
          <w:rFonts w:ascii="Times New Roman" w:hAnsi="Times New Roman"/>
          <w:sz w:val="24"/>
          <w:szCs w:val="24"/>
        </w:rPr>
        <w:t xml:space="preserve">sannerligen </w:t>
      </w:r>
      <w:r w:rsidR="00882541" w:rsidRPr="007B0ED8">
        <w:rPr>
          <w:rFonts w:ascii="Times New Roman" w:hAnsi="Times New Roman"/>
          <w:sz w:val="24"/>
          <w:szCs w:val="24"/>
        </w:rPr>
        <w:t xml:space="preserve">också rik på fantastiskt intressant och god forskning. </w:t>
      </w:r>
      <w:r w:rsidR="003859E4" w:rsidRPr="007B0ED8">
        <w:rPr>
          <w:rFonts w:ascii="Times New Roman" w:hAnsi="Times New Roman"/>
          <w:sz w:val="24"/>
          <w:szCs w:val="24"/>
        </w:rPr>
        <w:t>Men n</w:t>
      </w:r>
      <w:r w:rsidR="00882541" w:rsidRPr="007B0ED8">
        <w:rPr>
          <w:rFonts w:ascii="Times New Roman" w:hAnsi="Times New Roman"/>
          <w:sz w:val="24"/>
          <w:szCs w:val="24"/>
        </w:rPr>
        <w:t xml:space="preserve">umera </w:t>
      </w:r>
      <w:r w:rsidR="00327163" w:rsidRPr="007B0ED8">
        <w:rPr>
          <w:rFonts w:ascii="Times New Roman" w:hAnsi="Times New Roman"/>
          <w:sz w:val="24"/>
          <w:szCs w:val="24"/>
        </w:rPr>
        <w:t xml:space="preserve">är förutsättningarna för preciserad </w:t>
      </w:r>
      <w:proofErr w:type="spellStart"/>
      <w:r w:rsidR="00327163" w:rsidRPr="007B0ED8">
        <w:rPr>
          <w:rFonts w:ascii="Times New Roman" w:hAnsi="Times New Roman"/>
          <w:sz w:val="24"/>
          <w:szCs w:val="24"/>
        </w:rPr>
        <w:t>kontextualis</w:t>
      </w:r>
      <w:r w:rsidR="003859E4" w:rsidRPr="007B0ED8">
        <w:rPr>
          <w:rFonts w:ascii="Times New Roman" w:hAnsi="Times New Roman"/>
          <w:sz w:val="24"/>
          <w:szCs w:val="24"/>
        </w:rPr>
        <w:t>e</w:t>
      </w:r>
      <w:r w:rsidR="00327163" w:rsidRPr="007B0ED8">
        <w:rPr>
          <w:rFonts w:ascii="Times New Roman" w:hAnsi="Times New Roman"/>
          <w:sz w:val="24"/>
          <w:szCs w:val="24"/>
        </w:rPr>
        <w:t>ring</w:t>
      </w:r>
      <w:proofErr w:type="spellEnd"/>
      <w:r w:rsidR="00327163" w:rsidRPr="007B0ED8">
        <w:rPr>
          <w:rFonts w:ascii="Times New Roman" w:hAnsi="Times New Roman"/>
          <w:sz w:val="24"/>
          <w:szCs w:val="24"/>
        </w:rPr>
        <w:t xml:space="preserve"> bättre än tidigare. </w:t>
      </w:r>
      <w:r w:rsidR="004F526F" w:rsidRPr="007B0ED8">
        <w:rPr>
          <w:rFonts w:ascii="Times New Roman" w:hAnsi="Times New Roman"/>
          <w:sz w:val="24"/>
          <w:szCs w:val="24"/>
        </w:rPr>
        <w:t xml:space="preserve">När det gäller det antika </w:t>
      </w:r>
      <w:r w:rsidR="00327163" w:rsidRPr="007B0ED8">
        <w:rPr>
          <w:rFonts w:ascii="Times New Roman" w:hAnsi="Times New Roman"/>
          <w:sz w:val="24"/>
          <w:szCs w:val="24"/>
        </w:rPr>
        <w:t>Käll</w:t>
      </w:r>
      <w:r w:rsidR="0082025E" w:rsidRPr="007B0ED8">
        <w:rPr>
          <w:rFonts w:ascii="Times New Roman" w:hAnsi="Times New Roman"/>
          <w:sz w:val="24"/>
          <w:szCs w:val="24"/>
        </w:rPr>
        <w:t xml:space="preserve">materialet </w:t>
      </w:r>
      <w:r w:rsidR="004F526F" w:rsidRPr="007B0ED8">
        <w:rPr>
          <w:rFonts w:ascii="Times New Roman" w:hAnsi="Times New Roman"/>
          <w:sz w:val="24"/>
          <w:szCs w:val="24"/>
        </w:rPr>
        <w:t xml:space="preserve">så </w:t>
      </w:r>
      <w:r w:rsidR="00327163" w:rsidRPr="007B0ED8">
        <w:rPr>
          <w:rFonts w:ascii="Times New Roman" w:hAnsi="Times New Roman"/>
          <w:sz w:val="24"/>
          <w:szCs w:val="24"/>
        </w:rPr>
        <w:t xml:space="preserve">har </w:t>
      </w:r>
      <w:r w:rsidR="004F526F" w:rsidRPr="007B0ED8">
        <w:rPr>
          <w:rFonts w:ascii="Times New Roman" w:hAnsi="Times New Roman"/>
          <w:sz w:val="24"/>
          <w:szCs w:val="24"/>
        </w:rPr>
        <w:t xml:space="preserve">det </w:t>
      </w:r>
      <w:r w:rsidR="0082025E" w:rsidRPr="007B0ED8">
        <w:rPr>
          <w:rFonts w:ascii="Times New Roman" w:hAnsi="Times New Roman"/>
          <w:sz w:val="24"/>
          <w:szCs w:val="24"/>
        </w:rPr>
        <w:t>berikats</w:t>
      </w:r>
      <w:r w:rsidR="00EF161F" w:rsidRPr="007B0ED8">
        <w:rPr>
          <w:rFonts w:ascii="Times New Roman" w:hAnsi="Times New Roman"/>
          <w:sz w:val="24"/>
          <w:szCs w:val="24"/>
        </w:rPr>
        <w:t xml:space="preserve"> genom flera arkeologiska fynd samtidigt </w:t>
      </w:r>
      <w:r w:rsidR="00C414C8" w:rsidRPr="007B0ED8">
        <w:rPr>
          <w:rFonts w:ascii="Times New Roman" w:hAnsi="Times New Roman"/>
          <w:sz w:val="24"/>
          <w:szCs w:val="24"/>
        </w:rPr>
        <w:t xml:space="preserve">som </w:t>
      </w:r>
      <w:r w:rsidR="00EF161F" w:rsidRPr="007B0ED8">
        <w:rPr>
          <w:rFonts w:ascii="Times New Roman" w:hAnsi="Times New Roman"/>
          <w:sz w:val="24"/>
          <w:szCs w:val="24"/>
        </w:rPr>
        <w:t>metoderna för att analysera dessa utvecklats och breddats.</w:t>
      </w:r>
      <w:r w:rsidR="00023692" w:rsidRPr="007B0ED8">
        <w:rPr>
          <w:rFonts w:ascii="Times New Roman" w:hAnsi="Times New Roman"/>
          <w:sz w:val="24"/>
          <w:szCs w:val="24"/>
        </w:rPr>
        <w:t xml:space="preserve"> </w:t>
      </w:r>
      <w:r w:rsidR="0082025E" w:rsidRPr="007B0ED8">
        <w:rPr>
          <w:rFonts w:ascii="Times New Roman" w:hAnsi="Times New Roman"/>
          <w:sz w:val="24"/>
          <w:szCs w:val="24"/>
        </w:rPr>
        <w:t xml:space="preserve">Även för mig som främst arbetar med gamla texter är kunskaper om de miljöer inom vilka källtexterna uppstod och användes avgörande. Ords betydelse är ju i högsta grad kontextberoende. Men än mer spännande för den filologiskt inriktade religionsvetaren är det att studera de många nya texter som </w:t>
      </w:r>
      <w:r w:rsidR="00327163" w:rsidRPr="007B0ED8">
        <w:rPr>
          <w:rFonts w:ascii="Times New Roman" w:hAnsi="Times New Roman"/>
          <w:sz w:val="24"/>
          <w:szCs w:val="24"/>
        </w:rPr>
        <w:t xml:space="preserve">nått dagens ljus </w:t>
      </w:r>
      <w:r w:rsidR="00023692" w:rsidRPr="007B0ED8">
        <w:rPr>
          <w:rFonts w:ascii="Times New Roman" w:hAnsi="Times New Roman"/>
          <w:sz w:val="24"/>
          <w:szCs w:val="24"/>
        </w:rPr>
        <w:t>på senare tid.</w:t>
      </w:r>
    </w:p>
    <w:p w:rsidR="00D31289" w:rsidRPr="007B0ED8" w:rsidRDefault="00D31289" w:rsidP="00DE13BC">
      <w:pPr>
        <w:rPr>
          <w:rFonts w:ascii="Times New Roman" w:hAnsi="Times New Roman"/>
          <w:sz w:val="24"/>
          <w:szCs w:val="24"/>
        </w:rPr>
      </w:pPr>
    </w:p>
    <w:p w:rsidR="00C305A3" w:rsidRPr="007B0ED8" w:rsidRDefault="00FA4E2C" w:rsidP="00DE13BC">
      <w:pPr>
        <w:rPr>
          <w:rFonts w:ascii="Times New Roman" w:hAnsi="Times New Roman"/>
          <w:sz w:val="24"/>
          <w:szCs w:val="24"/>
        </w:rPr>
      </w:pPr>
      <w:r w:rsidRPr="007B0ED8">
        <w:rPr>
          <w:rFonts w:ascii="Times New Roman" w:hAnsi="Times New Roman"/>
          <w:sz w:val="24"/>
          <w:szCs w:val="24"/>
        </w:rPr>
        <w:t>Ytterligare e</w:t>
      </w:r>
      <w:r w:rsidR="003859E4" w:rsidRPr="007B0ED8">
        <w:rPr>
          <w:rFonts w:ascii="Times New Roman" w:hAnsi="Times New Roman"/>
          <w:sz w:val="24"/>
          <w:szCs w:val="24"/>
        </w:rPr>
        <w:t>n</w:t>
      </w:r>
      <w:r w:rsidRPr="007B0ED8">
        <w:rPr>
          <w:rFonts w:ascii="Times New Roman" w:hAnsi="Times New Roman"/>
          <w:sz w:val="24"/>
          <w:szCs w:val="24"/>
        </w:rPr>
        <w:t xml:space="preserve"> </w:t>
      </w:r>
      <w:r w:rsidR="003859E4" w:rsidRPr="007B0ED8">
        <w:rPr>
          <w:rFonts w:ascii="Times New Roman" w:hAnsi="Times New Roman"/>
          <w:sz w:val="24"/>
          <w:szCs w:val="24"/>
        </w:rPr>
        <w:t xml:space="preserve">orsak </w:t>
      </w:r>
      <w:r w:rsidR="00327163" w:rsidRPr="007B0ED8">
        <w:rPr>
          <w:rFonts w:ascii="Times New Roman" w:hAnsi="Times New Roman"/>
          <w:sz w:val="24"/>
          <w:szCs w:val="24"/>
        </w:rPr>
        <w:t xml:space="preserve">till </w:t>
      </w:r>
      <w:r w:rsidR="00EF161F" w:rsidRPr="007B0ED8">
        <w:rPr>
          <w:rFonts w:ascii="Times New Roman" w:hAnsi="Times New Roman"/>
          <w:sz w:val="24"/>
          <w:szCs w:val="24"/>
        </w:rPr>
        <w:t xml:space="preserve">utvecklingen </w:t>
      </w:r>
      <w:r w:rsidR="00327163" w:rsidRPr="007B0ED8">
        <w:rPr>
          <w:rFonts w:ascii="Times New Roman" w:hAnsi="Times New Roman"/>
          <w:sz w:val="24"/>
          <w:szCs w:val="24"/>
        </w:rPr>
        <w:t xml:space="preserve">inom den antika jämförande religionsforskningen </w:t>
      </w:r>
      <w:r w:rsidRPr="007B0ED8">
        <w:rPr>
          <w:rFonts w:ascii="Times New Roman" w:hAnsi="Times New Roman"/>
          <w:sz w:val="24"/>
          <w:szCs w:val="24"/>
        </w:rPr>
        <w:t xml:space="preserve">är framstegen inom religionssociologin. Utifrån slutsatser som man kan dra när man studerar </w:t>
      </w:r>
      <w:r w:rsidRPr="007B0ED8">
        <w:rPr>
          <w:rFonts w:ascii="Times New Roman" w:hAnsi="Times New Roman"/>
          <w:sz w:val="24"/>
          <w:szCs w:val="24"/>
        </w:rPr>
        <w:lastRenderedPageBreak/>
        <w:t xml:space="preserve">nutida religiösa rörelser där källäget är gott kan hypoteser prövas och teorier byggas up. </w:t>
      </w:r>
      <w:r w:rsidR="00EF161F" w:rsidRPr="007B0ED8">
        <w:rPr>
          <w:rFonts w:ascii="Times New Roman" w:hAnsi="Times New Roman"/>
          <w:sz w:val="24"/>
          <w:szCs w:val="24"/>
        </w:rPr>
        <w:t xml:space="preserve">I många fall är detta </w:t>
      </w:r>
      <w:r w:rsidRPr="007B0ED8">
        <w:rPr>
          <w:rFonts w:ascii="Times New Roman" w:hAnsi="Times New Roman"/>
          <w:sz w:val="24"/>
          <w:szCs w:val="24"/>
        </w:rPr>
        <w:t>en värdefull hjälp för antikvetaren so</w:t>
      </w:r>
      <w:r w:rsidR="003472A2" w:rsidRPr="007B0ED8">
        <w:rPr>
          <w:rFonts w:ascii="Times New Roman" w:hAnsi="Times New Roman"/>
          <w:sz w:val="24"/>
          <w:szCs w:val="24"/>
        </w:rPr>
        <w:t>m</w:t>
      </w:r>
      <w:r w:rsidRPr="007B0ED8">
        <w:rPr>
          <w:rFonts w:ascii="Times New Roman" w:hAnsi="Times New Roman"/>
          <w:sz w:val="24"/>
          <w:szCs w:val="24"/>
        </w:rPr>
        <w:t xml:space="preserve"> ofta arbetar med klart sämre källäge än den som arbetar med nutidsmaterial. Vi kan då närma oss det antika materialet med </w:t>
      </w:r>
      <w:r w:rsidR="00934859" w:rsidRPr="007B0ED8">
        <w:rPr>
          <w:rFonts w:ascii="Times New Roman" w:hAnsi="Times New Roman"/>
          <w:sz w:val="24"/>
          <w:szCs w:val="24"/>
        </w:rPr>
        <w:t>be</w:t>
      </w:r>
      <w:r w:rsidRPr="007B0ED8">
        <w:rPr>
          <w:rFonts w:ascii="Times New Roman" w:hAnsi="Times New Roman"/>
          <w:sz w:val="24"/>
          <w:szCs w:val="24"/>
        </w:rPr>
        <w:t xml:space="preserve">prövade teorier </w:t>
      </w:r>
      <w:r w:rsidR="00934859" w:rsidRPr="007B0ED8">
        <w:rPr>
          <w:rFonts w:ascii="Times New Roman" w:hAnsi="Times New Roman"/>
          <w:sz w:val="24"/>
          <w:szCs w:val="24"/>
        </w:rPr>
        <w:t xml:space="preserve">och </w:t>
      </w:r>
      <w:r w:rsidRPr="007B0ED8">
        <w:rPr>
          <w:rFonts w:ascii="Times New Roman" w:hAnsi="Times New Roman"/>
          <w:sz w:val="24"/>
          <w:szCs w:val="24"/>
        </w:rPr>
        <w:t xml:space="preserve">applicera dem för att </w:t>
      </w:r>
      <w:r w:rsidR="00934859" w:rsidRPr="007B0ED8">
        <w:rPr>
          <w:rFonts w:ascii="Times New Roman" w:hAnsi="Times New Roman"/>
          <w:sz w:val="24"/>
          <w:szCs w:val="24"/>
        </w:rPr>
        <w:t xml:space="preserve">på så vis bättre </w:t>
      </w:r>
      <w:r w:rsidRPr="007B0ED8">
        <w:rPr>
          <w:rFonts w:ascii="Times New Roman" w:hAnsi="Times New Roman"/>
          <w:sz w:val="24"/>
          <w:szCs w:val="24"/>
        </w:rPr>
        <w:t>förstå ett fragmentariskt gammalt material. Vi kom</w:t>
      </w:r>
      <w:r w:rsidR="003472A2" w:rsidRPr="007B0ED8">
        <w:rPr>
          <w:rFonts w:ascii="Times New Roman" w:hAnsi="Times New Roman"/>
          <w:sz w:val="24"/>
          <w:szCs w:val="24"/>
        </w:rPr>
        <w:t>m</w:t>
      </w:r>
      <w:r w:rsidRPr="007B0ED8">
        <w:rPr>
          <w:rFonts w:ascii="Times New Roman" w:hAnsi="Times New Roman"/>
          <w:sz w:val="24"/>
          <w:szCs w:val="24"/>
        </w:rPr>
        <w:t xml:space="preserve">er fortfarande röra oss på osäker mark, men vi har möjlighet att </w:t>
      </w:r>
      <w:r w:rsidR="003472A2" w:rsidRPr="007B0ED8">
        <w:rPr>
          <w:rFonts w:ascii="Times New Roman" w:hAnsi="Times New Roman"/>
          <w:sz w:val="24"/>
          <w:szCs w:val="24"/>
        </w:rPr>
        <w:t xml:space="preserve">gå </w:t>
      </w:r>
      <w:r w:rsidRPr="007B0ED8">
        <w:rPr>
          <w:rFonts w:ascii="Times New Roman" w:hAnsi="Times New Roman"/>
          <w:sz w:val="24"/>
          <w:szCs w:val="24"/>
        </w:rPr>
        <w:t>från rena spekulationer ti</w:t>
      </w:r>
      <w:r w:rsidR="007602C3" w:rsidRPr="007B0ED8">
        <w:rPr>
          <w:rFonts w:ascii="Times New Roman" w:hAnsi="Times New Roman"/>
          <w:sz w:val="24"/>
          <w:szCs w:val="24"/>
        </w:rPr>
        <w:t>l</w:t>
      </w:r>
      <w:r w:rsidRPr="007B0ED8">
        <w:rPr>
          <w:rFonts w:ascii="Times New Roman" w:hAnsi="Times New Roman"/>
          <w:sz w:val="24"/>
          <w:szCs w:val="24"/>
        </w:rPr>
        <w:t>l välgrundade antaganden. Det har gjort att även sedan länge noga studerade texter fått ny betydelse</w:t>
      </w:r>
      <w:r w:rsidR="003472A2" w:rsidRPr="007B0ED8">
        <w:rPr>
          <w:rFonts w:ascii="Times New Roman" w:hAnsi="Times New Roman"/>
          <w:sz w:val="24"/>
          <w:szCs w:val="24"/>
        </w:rPr>
        <w:t xml:space="preserve"> och att den under en tid hårt kritiserade jämförande religionsvetenskapen </w:t>
      </w:r>
      <w:r w:rsidR="00EF161F" w:rsidRPr="007B0ED8">
        <w:rPr>
          <w:rFonts w:ascii="Times New Roman" w:hAnsi="Times New Roman"/>
          <w:sz w:val="24"/>
          <w:szCs w:val="24"/>
        </w:rPr>
        <w:t xml:space="preserve">idag </w:t>
      </w:r>
      <w:r w:rsidR="003472A2" w:rsidRPr="007B0ED8">
        <w:rPr>
          <w:rFonts w:ascii="Times New Roman" w:hAnsi="Times New Roman"/>
          <w:sz w:val="24"/>
          <w:szCs w:val="24"/>
        </w:rPr>
        <w:t>är ett mycket dynamiskt och intressant fält</w:t>
      </w:r>
      <w:r w:rsidRPr="007B0ED8">
        <w:rPr>
          <w:rFonts w:ascii="Times New Roman" w:hAnsi="Times New Roman"/>
          <w:sz w:val="24"/>
          <w:szCs w:val="24"/>
        </w:rPr>
        <w:t>.</w:t>
      </w:r>
      <w:r w:rsidR="003472A2" w:rsidRPr="007B0ED8">
        <w:rPr>
          <w:rFonts w:ascii="Times New Roman" w:hAnsi="Times New Roman"/>
          <w:sz w:val="24"/>
          <w:szCs w:val="24"/>
        </w:rPr>
        <w:t xml:space="preserve"> </w:t>
      </w:r>
      <w:r w:rsidR="00327163" w:rsidRPr="007B0ED8">
        <w:rPr>
          <w:rFonts w:ascii="Times New Roman" w:hAnsi="Times New Roman"/>
          <w:sz w:val="24"/>
          <w:szCs w:val="24"/>
        </w:rPr>
        <w:t>Mot det jämförande studiet kan invändas att det är mer spekulativt än ett studium som är starkt begränsat till ett enskilt fenomen, men om vi skulle avstå ifrån bredare perspektiv skulle vägar till ny och fördjupad kunskap om hur vi människor fungerar på ett mer generellt</w:t>
      </w:r>
      <w:r w:rsidR="00C305A3" w:rsidRPr="007B0ED8">
        <w:rPr>
          <w:rFonts w:ascii="Times New Roman" w:hAnsi="Times New Roman"/>
          <w:sz w:val="24"/>
          <w:szCs w:val="24"/>
        </w:rPr>
        <w:t xml:space="preserve"> plan riskera att gå förlorade.</w:t>
      </w:r>
    </w:p>
    <w:p w:rsidR="00C2409C" w:rsidRPr="007B0ED8" w:rsidRDefault="00C2409C" w:rsidP="00DE13BC">
      <w:pPr>
        <w:rPr>
          <w:rFonts w:ascii="Times New Roman" w:hAnsi="Times New Roman"/>
          <w:sz w:val="24"/>
          <w:szCs w:val="24"/>
        </w:rPr>
      </w:pPr>
    </w:p>
    <w:p w:rsidR="0042019D" w:rsidRPr="007B0ED8" w:rsidRDefault="00877BCB" w:rsidP="002B6AF8">
      <w:pPr>
        <w:rPr>
          <w:rFonts w:ascii="Times New Roman" w:hAnsi="Times New Roman"/>
          <w:sz w:val="24"/>
          <w:szCs w:val="24"/>
        </w:rPr>
      </w:pPr>
      <w:r w:rsidRPr="007B0ED8">
        <w:rPr>
          <w:rFonts w:ascii="Times New Roman" w:hAnsi="Times New Roman"/>
          <w:sz w:val="24"/>
          <w:szCs w:val="24"/>
        </w:rPr>
        <w:t xml:space="preserve">Men </w:t>
      </w:r>
      <w:proofErr w:type="gramStart"/>
      <w:r w:rsidRPr="007B0ED8">
        <w:rPr>
          <w:rFonts w:ascii="Times New Roman" w:hAnsi="Times New Roman"/>
          <w:sz w:val="24"/>
          <w:szCs w:val="24"/>
        </w:rPr>
        <w:t>vadan</w:t>
      </w:r>
      <w:proofErr w:type="gramEnd"/>
      <w:r w:rsidRPr="007B0ED8">
        <w:rPr>
          <w:rFonts w:ascii="Times New Roman" w:hAnsi="Times New Roman"/>
          <w:sz w:val="24"/>
          <w:szCs w:val="24"/>
        </w:rPr>
        <w:t xml:space="preserve"> detta preludium? Eftersom jag i det följande ska diskutera matens betydelse för så kallade manikéer är det viktigt att försöka plocka ned vårt material från ismernas abstrakta nivå till en så vardagsnära nivå som möjligt. Jag skulle föredra att tala om manikeisk religion eller manikeisk religiositet snarare än om ismen manikeism som mer fokuserar på doktriner i ett vakuum. </w:t>
      </w:r>
      <w:r w:rsidR="00934859" w:rsidRPr="007B0ED8">
        <w:rPr>
          <w:rFonts w:ascii="Times New Roman" w:hAnsi="Times New Roman"/>
          <w:sz w:val="24"/>
          <w:szCs w:val="24"/>
        </w:rPr>
        <w:t>D</w:t>
      </w:r>
      <w:r w:rsidRPr="007B0ED8">
        <w:rPr>
          <w:rFonts w:ascii="Times New Roman" w:hAnsi="Times New Roman"/>
          <w:sz w:val="24"/>
          <w:szCs w:val="24"/>
        </w:rPr>
        <w:t xml:space="preserve">å vi försöker förstå </w:t>
      </w:r>
      <w:r w:rsidR="00237CF5" w:rsidRPr="007B0ED8">
        <w:rPr>
          <w:rFonts w:ascii="Times New Roman" w:hAnsi="Times New Roman"/>
          <w:sz w:val="24"/>
          <w:szCs w:val="24"/>
        </w:rPr>
        <w:t>m</w:t>
      </w:r>
      <w:r w:rsidRPr="007B0ED8">
        <w:rPr>
          <w:rFonts w:ascii="Times New Roman" w:hAnsi="Times New Roman"/>
          <w:sz w:val="24"/>
          <w:szCs w:val="24"/>
        </w:rPr>
        <w:t xml:space="preserve">änniskors vardag </w:t>
      </w:r>
      <w:r w:rsidR="00237CF5" w:rsidRPr="007B0ED8">
        <w:rPr>
          <w:rFonts w:ascii="Times New Roman" w:hAnsi="Times New Roman"/>
          <w:sz w:val="24"/>
          <w:szCs w:val="24"/>
        </w:rPr>
        <w:t>måste vi fråga oss hur man hanterat dogmerna för att få vardagen att gå ihop.</w:t>
      </w:r>
      <w:r w:rsidR="007602C3" w:rsidRPr="007B0ED8">
        <w:rPr>
          <w:rFonts w:ascii="Times New Roman" w:hAnsi="Times New Roman"/>
          <w:sz w:val="24"/>
          <w:szCs w:val="24"/>
        </w:rPr>
        <w:t xml:space="preserve"> </w:t>
      </w:r>
      <w:r w:rsidR="003859E4" w:rsidRPr="007B0ED8">
        <w:rPr>
          <w:rFonts w:ascii="Times New Roman" w:hAnsi="Times New Roman"/>
          <w:sz w:val="24"/>
          <w:szCs w:val="24"/>
        </w:rPr>
        <w:t xml:space="preserve">Men </w:t>
      </w:r>
      <w:r w:rsidR="00EF161F" w:rsidRPr="007B0ED8">
        <w:rPr>
          <w:rFonts w:ascii="Times New Roman" w:hAnsi="Times New Roman"/>
          <w:sz w:val="24"/>
          <w:szCs w:val="24"/>
        </w:rPr>
        <w:t xml:space="preserve">eftersom </w:t>
      </w:r>
      <w:r w:rsidR="003859E4" w:rsidRPr="007B0ED8">
        <w:rPr>
          <w:rFonts w:ascii="Times New Roman" w:hAnsi="Times New Roman"/>
          <w:sz w:val="24"/>
          <w:szCs w:val="24"/>
        </w:rPr>
        <w:t>källäget är besvärligt när det gäl</w:t>
      </w:r>
      <w:r w:rsidR="00231130" w:rsidRPr="007B0ED8">
        <w:rPr>
          <w:rFonts w:ascii="Times New Roman" w:hAnsi="Times New Roman"/>
          <w:sz w:val="24"/>
          <w:szCs w:val="24"/>
        </w:rPr>
        <w:t>l</w:t>
      </w:r>
      <w:r w:rsidR="003859E4" w:rsidRPr="007B0ED8">
        <w:rPr>
          <w:rFonts w:ascii="Times New Roman" w:hAnsi="Times New Roman"/>
          <w:sz w:val="24"/>
          <w:szCs w:val="24"/>
        </w:rPr>
        <w:t>er</w:t>
      </w:r>
      <w:r w:rsidR="00231130" w:rsidRPr="007B0ED8">
        <w:rPr>
          <w:rFonts w:ascii="Times New Roman" w:hAnsi="Times New Roman"/>
          <w:sz w:val="24"/>
          <w:szCs w:val="24"/>
        </w:rPr>
        <w:t xml:space="preserve"> </w:t>
      </w:r>
      <w:r w:rsidR="003859E4" w:rsidRPr="007B0ED8">
        <w:rPr>
          <w:rFonts w:ascii="Times New Roman" w:hAnsi="Times New Roman"/>
          <w:sz w:val="24"/>
          <w:szCs w:val="24"/>
        </w:rPr>
        <w:t>manikeism måste vi ofta göra jämförelser mellan vittnesbörd fr</w:t>
      </w:r>
      <w:r w:rsidR="00231130" w:rsidRPr="007B0ED8">
        <w:rPr>
          <w:rFonts w:ascii="Times New Roman" w:hAnsi="Times New Roman"/>
          <w:sz w:val="24"/>
          <w:szCs w:val="24"/>
        </w:rPr>
        <w:t>å</w:t>
      </w:r>
      <w:r w:rsidR="003859E4" w:rsidRPr="007B0ED8">
        <w:rPr>
          <w:rFonts w:ascii="Times New Roman" w:hAnsi="Times New Roman"/>
          <w:sz w:val="24"/>
          <w:szCs w:val="24"/>
        </w:rPr>
        <w:t xml:space="preserve">n </w:t>
      </w:r>
      <w:r w:rsidR="00231130" w:rsidRPr="007B0ED8">
        <w:rPr>
          <w:rFonts w:ascii="Times New Roman" w:hAnsi="Times New Roman"/>
          <w:sz w:val="24"/>
          <w:szCs w:val="24"/>
        </w:rPr>
        <w:t xml:space="preserve">exempelvis </w:t>
      </w:r>
      <w:r w:rsidR="003859E4" w:rsidRPr="007B0ED8">
        <w:rPr>
          <w:rFonts w:ascii="Times New Roman" w:hAnsi="Times New Roman"/>
          <w:sz w:val="24"/>
          <w:szCs w:val="24"/>
        </w:rPr>
        <w:t>Nordafrika, Centralasien och Kina</w:t>
      </w:r>
      <w:r w:rsidR="00231130" w:rsidRPr="007B0ED8">
        <w:rPr>
          <w:rFonts w:ascii="Times New Roman" w:hAnsi="Times New Roman"/>
          <w:sz w:val="24"/>
          <w:szCs w:val="24"/>
        </w:rPr>
        <w:t xml:space="preserve">. Varsamhet med slutsatserna och jämförelserna är därför ytterst viktig. </w:t>
      </w:r>
      <w:r w:rsidR="007602C3" w:rsidRPr="007B0ED8">
        <w:rPr>
          <w:rFonts w:ascii="Times New Roman" w:hAnsi="Times New Roman"/>
          <w:sz w:val="24"/>
          <w:szCs w:val="24"/>
        </w:rPr>
        <w:t>Vi börjar med en översikt av grundkomponenterna inom manikeism</w:t>
      </w:r>
      <w:r w:rsidR="00934859" w:rsidRPr="007B0ED8">
        <w:rPr>
          <w:rFonts w:ascii="Times New Roman" w:hAnsi="Times New Roman"/>
          <w:sz w:val="24"/>
          <w:szCs w:val="24"/>
        </w:rPr>
        <w:t>.</w:t>
      </w:r>
      <w:r w:rsidR="007602C3" w:rsidRPr="007B0ED8">
        <w:rPr>
          <w:rFonts w:ascii="Times New Roman" w:hAnsi="Times New Roman"/>
          <w:sz w:val="24"/>
          <w:szCs w:val="24"/>
        </w:rPr>
        <w:t xml:space="preserve"> </w:t>
      </w:r>
      <w:r w:rsidR="00934859" w:rsidRPr="007B0ED8">
        <w:rPr>
          <w:rFonts w:ascii="Times New Roman" w:hAnsi="Times New Roman"/>
          <w:sz w:val="24"/>
          <w:szCs w:val="24"/>
        </w:rPr>
        <w:t>Där kom</w:t>
      </w:r>
      <w:r w:rsidR="00072B27" w:rsidRPr="007B0ED8">
        <w:rPr>
          <w:rFonts w:ascii="Times New Roman" w:hAnsi="Times New Roman"/>
          <w:sz w:val="24"/>
          <w:szCs w:val="24"/>
        </w:rPr>
        <w:t>m</w:t>
      </w:r>
      <w:r w:rsidR="00934859" w:rsidRPr="007B0ED8">
        <w:rPr>
          <w:rFonts w:ascii="Times New Roman" w:hAnsi="Times New Roman"/>
          <w:sz w:val="24"/>
          <w:szCs w:val="24"/>
        </w:rPr>
        <w:t>er vi att h</w:t>
      </w:r>
      <w:r w:rsidR="00072B27" w:rsidRPr="007B0ED8">
        <w:rPr>
          <w:rFonts w:ascii="Times New Roman" w:hAnsi="Times New Roman"/>
          <w:sz w:val="24"/>
          <w:szCs w:val="24"/>
        </w:rPr>
        <w:t>ä</w:t>
      </w:r>
      <w:r w:rsidR="00934859" w:rsidRPr="007B0ED8">
        <w:rPr>
          <w:rFonts w:ascii="Times New Roman" w:hAnsi="Times New Roman"/>
          <w:sz w:val="24"/>
          <w:szCs w:val="24"/>
        </w:rPr>
        <w:t xml:space="preserve">mta stoff från många olika håll </w:t>
      </w:r>
      <w:r w:rsidR="00072B27" w:rsidRPr="007B0ED8">
        <w:rPr>
          <w:rFonts w:ascii="Times New Roman" w:hAnsi="Times New Roman"/>
          <w:sz w:val="24"/>
          <w:szCs w:val="24"/>
        </w:rPr>
        <w:t xml:space="preserve">och i mångt och mycket blir det centrala i den delen manikeiska myter och dogmer. </w:t>
      </w:r>
      <w:r w:rsidR="00327163" w:rsidRPr="007B0ED8">
        <w:rPr>
          <w:rFonts w:ascii="Times New Roman" w:hAnsi="Times New Roman"/>
          <w:sz w:val="24"/>
          <w:szCs w:val="24"/>
        </w:rPr>
        <w:t xml:space="preserve">Här blir således risken för övergeneralisering stor. </w:t>
      </w:r>
      <w:r w:rsidR="00072B27" w:rsidRPr="007B0ED8">
        <w:rPr>
          <w:rFonts w:ascii="Times New Roman" w:hAnsi="Times New Roman"/>
          <w:sz w:val="24"/>
          <w:szCs w:val="24"/>
        </w:rPr>
        <w:t>S</w:t>
      </w:r>
      <w:r w:rsidR="007602C3" w:rsidRPr="007B0ED8">
        <w:rPr>
          <w:rFonts w:ascii="Times New Roman" w:hAnsi="Times New Roman"/>
          <w:sz w:val="24"/>
          <w:szCs w:val="24"/>
        </w:rPr>
        <w:t>edan snäva</w:t>
      </w:r>
      <w:r w:rsidR="00072B27" w:rsidRPr="007B0ED8">
        <w:rPr>
          <w:rFonts w:ascii="Times New Roman" w:hAnsi="Times New Roman"/>
          <w:sz w:val="24"/>
          <w:szCs w:val="24"/>
        </w:rPr>
        <w:t>r</w:t>
      </w:r>
      <w:r w:rsidR="007602C3" w:rsidRPr="007B0ED8">
        <w:rPr>
          <w:rFonts w:ascii="Times New Roman" w:hAnsi="Times New Roman"/>
          <w:sz w:val="24"/>
          <w:szCs w:val="24"/>
        </w:rPr>
        <w:t xml:space="preserve"> </w:t>
      </w:r>
      <w:r w:rsidR="00072B27" w:rsidRPr="007B0ED8">
        <w:rPr>
          <w:rFonts w:ascii="Times New Roman" w:hAnsi="Times New Roman"/>
          <w:sz w:val="24"/>
          <w:szCs w:val="24"/>
        </w:rPr>
        <w:t xml:space="preserve">vi </w:t>
      </w:r>
      <w:r w:rsidR="007602C3" w:rsidRPr="007B0ED8">
        <w:rPr>
          <w:rFonts w:ascii="Times New Roman" w:hAnsi="Times New Roman"/>
          <w:sz w:val="24"/>
          <w:szCs w:val="24"/>
        </w:rPr>
        <w:t>av diskussionen till hur man kunde hantera de krav som trossatserna stäl</w:t>
      </w:r>
      <w:r w:rsidR="00072B27" w:rsidRPr="007B0ED8">
        <w:rPr>
          <w:rFonts w:ascii="Times New Roman" w:hAnsi="Times New Roman"/>
          <w:sz w:val="24"/>
          <w:szCs w:val="24"/>
        </w:rPr>
        <w:t>l</w:t>
      </w:r>
      <w:r w:rsidR="007602C3" w:rsidRPr="007B0ED8">
        <w:rPr>
          <w:rFonts w:ascii="Times New Roman" w:hAnsi="Times New Roman"/>
          <w:sz w:val="24"/>
          <w:szCs w:val="24"/>
        </w:rPr>
        <w:t>de på folk i en mer specifik kontext.</w:t>
      </w:r>
      <w:r w:rsidR="00DB595F" w:rsidRPr="007B0ED8">
        <w:rPr>
          <w:rFonts w:ascii="Times New Roman" w:hAnsi="Times New Roman"/>
          <w:sz w:val="24"/>
          <w:szCs w:val="24"/>
        </w:rPr>
        <w:t xml:space="preserve"> </w:t>
      </w:r>
      <w:r w:rsidR="00072B27" w:rsidRPr="007B0ED8">
        <w:rPr>
          <w:rFonts w:ascii="Times New Roman" w:hAnsi="Times New Roman"/>
          <w:sz w:val="24"/>
          <w:szCs w:val="24"/>
        </w:rPr>
        <w:t xml:space="preserve">Här står självfallet maten i centrum. </w:t>
      </w:r>
      <w:r w:rsidR="00DB595F" w:rsidRPr="007B0ED8">
        <w:rPr>
          <w:rFonts w:ascii="Times New Roman" w:hAnsi="Times New Roman"/>
          <w:sz w:val="24"/>
          <w:szCs w:val="24"/>
        </w:rPr>
        <w:t xml:space="preserve">I slutet ska vi använda oss av nytt material från en plats i Egypten som under antiken gick under namnet Kellis. </w:t>
      </w:r>
      <w:r w:rsidR="00072B27" w:rsidRPr="007B0ED8">
        <w:rPr>
          <w:rFonts w:ascii="Times New Roman" w:hAnsi="Times New Roman"/>
          <w:sz w:val="24"/>
          <w:szCs w:val="24"/>
        </w:rPr>
        <w:t xml:space="preserve">Här får vi alltså pröva det som sagts i översiktsdelen och kanske kan det nya materialet som på många sätt ger oss helt nya insikter om vardagslivet för manikéer modifiera det som tidigare sagts om dogmerna och deras tillämpning. </w:t>
      </w:r>
    </w:p>
    <w:p w:rsidR="00072B27" w:rsidRPr="002730D1" w:rsidRDefault="000B1971" w:rsidP="002730D1">
      <w:pPr>
        <w:pStyle w:val="Rubrik2"/>
        <w:rPr>
          <w:rFonts w:ascii="Times New Roman" w:hAnsi="Times New Roman"/>
        </w:rPr>
      </w:pPr>
      <w:r w:rsidRPr="002730D1">
        <w:rPr>
          <w:rFonts w:ascii="Times New Roman" w:hAnsi="Times New Roman"/>
        </w:rPr>
        <w:t>Den första världsreligionen</w:t>
      </w:r>
    </w:p>
    <w:p w:rsidR="004B617C" w:rsidRPr="007B0ED8" w:rsidRDefault="00FC2F50" w:rsidP="001D45A1">
      <w:pPr>
        <w:rPr>
          <w:rFonts w:ascii="Times New Roman" w:hAnsi="Times New Roman"/>
          <w:sz w:val="24"/>
          <w:szCs w:val="24"/>
        </w:rPr>
      </w:pPr>
      <w:r w:rsidRPr="007B0ED8">
        <w:rPr>
          <w:rFonts w:ascii="Times New Roman" w:hAnsi="Times New Roman"/>
          <w:sz w:val="24"/>
          <w:szCs w:val="24"/>
        </w:rPr>
        <w:t>Om du hajar till inför rubriken betyder inte det att du är särskilt obildad för det. Manikeismen är en gammal, oerhört utbredd och idag nästan bortglömd världsreligion. Med tanke på dess spridning kan vi med fog kalla den en världsreligion. Genom den följande genomgången av källäget får du dels en uppfattning om hur nyligen mycket av materialet har blivit känt och ti</w:t>
      </w:r>
      <w:r w:rsidR="008C4540" w:rsidRPr="007B0ED8">
        <w:rPr>
          <w:rFonts w:ascii="Times New Roman" w:hAnsi="Times New Roman"/>
          <w:sz w:val="24"/>
          <w:szCs w:val="24"/>
        </w:rPr>
        <w:t>l</w:t>
      </w:r>
      <w:r w:rsidRPr="007B0ED8">
        <w:rPr>
          <w:rFonts w:ascii="Times New Roman" w:hAnsi="Times New Roman"/>
          <w:sz w:val="24"/>
          <w:szCs w:val="24"/>
        </w:rPr>
        <w:t xml:space="preserve">lgängligt för forskning och dels en uppfattning om den geografiska spridning som materialet har.  </w:t>
      </w:r>
    </w:p>
    <w:p w:rsidR="000F5880" w:rsidRPr="00FA1DE3" w:rsidRDefault="000F5880" w:rsidP="00FA1DE3">
      <w:pPr>
        <w:pStyle w:val="Rubrik3"/>
        <w:rPr>
          <w:rFonts w:ascii="Times New Roman" w:hAnsi="Times New Roman"/>
          <w:sz w:val="24"/>
        </w:rPr>
      </w:pPr>
      <w:r w:rsidRPr="00FA1DE3">
        <w:rPr>
          <w:rFonts w:ascii="Times New Roman" w:hAnsi="Times New Roman"/>
          <w:sz w:val="24"/>
        </w:rPr>
        <w:t>Källorna</w:t>
      </w:r>
    </w:p>
    <w:p w:rsidR="007146B6" w:rsidRPr="007B0ED8" w:rsidRDefault="00572DDD" w:rsidP="00DE13BC">
      <w:pPr>
        <w:rPr>
          <w:rFonts w:ascii="Times New Roman" w:hAnsi="Times New Roman" w:cs="Courier New"/>
          <w:sz w:val="24"/>
          <w:szCs w:val="24"/>
        </w:rPr>
      </w:pPr>
      <w:r w:rsidRPr="007B0ED8">
        <w:rPr>
          <w:rFonts w:ascii="Times New Roman" w:hAnsi="Times New Roman"/>
          <w:sz w:val="24"/>
          <w:szCs w:val="24"/>
        </w:rPr>
        <w:t xml:space="preserve">Före </w:t>
      </w:r>
      <w:r w:rsidR="00986168" w:rsidRPr="007B0ED8">
        <w:rPr>
          <w:rFonts w:ascii="Times New Roman" w:hAnsi="Times New Roman"/>
          <w:sz w:val="24"/>
          <w:szCs w:val="24"/>
        </w:rPr>
        <w:t>1</w:t>
      </w:r>
      <w:r w:rsidR="000A1DDB" w:rsidRPr="007B0ED8">
        <w:rPr>
          <w:rFonts w:ascii="Times New Roman" w:hAnsi="Times New Roman"/>
          <w:sz w:val="24"/>
          <w:szCs w:val="24"/>
        </w:rPr>
        <w:t>8</w:t>
      </w:r>
      <w:r w:rsidR="00986168" w:rsidRPr="007B0ED8">
        <w:rPr>
          <w:rFonts w:ascii="Times New Roman" w:hAnsi="Times New Roman"/>
          <w:sz w:val="24"/>
          <w:szCs w:val="24"/>
        </w:rPr>
        <w:t xml:space="preserve">00-talet begränsade sig </w:t>
      </w:r>
      <w:r w:rsidR="001B6317" w:rsidRPr="007B0ED8">
        <w:rPr>
          <w:rFonts w:ascii="Times New Roman" w:hAnsi="Times New Roman"/>
          <w:sz w:val="24"/>
          <w:szCs w:val="24"/>
        </w:rPr>
        <w:t xml:space="preserve">västerländska forskares kunskaper </w:t>
      </w:r>
      <w:r w:rsidR="00986168" w:rsidRPr="007B0ED8">
        <w:rPr>
          <w:rFonts w:ascii="Times New Roman" w:hAnsi="Times New Roman"/>
          <w:sz w:val="24"/>
          <w:szCs w:val="24"/>
        </w:rPr>
        <w:t xml:space="preserve">om manikeism till </w:t>
      </w:r>
      <w:r w:rsidR="001B6317" w:rsidRPr="007B0ED8">
        <w:rPr>
          <w:rFonts w:ascii="Times New Roman" w:hAnsi="Times New Roman"/>
          <w:sz w:val="24"/>
          <w:szCs w:val="24"/>
        </w:rPr>
        <w:t xml:space="preserve">innehållet i </w:t>
      </w:r>
      <w:r w:rsidR="00986168" w:rsidRPr="007B0ED8">
        <w:rPr>
          <w:rFonts w:ascii="Times New Roman" w:hAnsi="Times New Roman"/>
          <w:sz w:val="24"/>
          <w:szCs w:val="24"/>
        </w:rPr>
        <w:t xml:space="preserve">de </w:t>
      </w:r>
      <w:r w:rsidR="006F21FC" w:rsidRPr="007B0ED8">
        <w:rPr>
          <w:rFonts w:ascii="Times New Roman" w:hAnsi="Times New Roman"/>
          <w:sz w:val="24"/>
          <w:szCs w:val="24"/>
        </w:rPr>
        <w:t>källor som maniké</w:t>
      </w:r>
      <w:r w:rsidR="001B6317" w:rsidRPr="007B0ED8">
        <w:rPr>
          <w:rFonts w:ascii="Times New Roman" w:hAnsi="Times New Roman"/>
          <w:sz w:val="24"/>
          <w:szCs w:val="24"/>
        </w:rPr>
        <w:t xml:space="preserve">ernas </w:t>
      </w:r>
      <w:r w:rsidR="000A1DDB" w:rsidRPr="007B0ED8">
        <w:rPr>
          <w:rFonts w:ascii="Times New Roman" w:hAnsi="Times New Roman"/>
          <w:sz w:val="24"/>
          <w:szCs w:val="24"/>
        </w:rPr>
        <w:t xml:space="preserve">ortodoxt kristna </w:t>
      </w:r>
      <w:r w:rsidR="00986168" w:rsidRPr="007B0ED8">
        <w:rPr>
          <w:rFonts w:ascii="Times New Roman" w:hAnsi="Times New Roman"/>
          <w:sz w:val="24"/>
          <w:szCs w:val="24"/>
        </w:rPr>
        <w:t xml:space="preserve">vedersakare </w:t>
      </w:r>
      <w:r w:rsidR="001B6317" w:rsidRPr="007B0ED8">
        <w:rPr>
          <w:rFonts w:ascii="Times New Roman" w:hAnsi="Times New Roman"/>
          <w:sz w:val="24"/>
          <w:szCs w:val="24"/>
        </w:rPr>
        <w:t>författat</w:t>
      </w:r>
      <w:r w:rsidR="00986168" w:rsidRPr="007B0ED8">
        <w:rPr>
          <w:rFonts w:ascii="Times New Roman" w:hAnsi="Times New Roman"/>
          <w:sz w:val="24"/>
          <w:szCs w:val="24"/>
        </w:rPr>
        <w:t>.</w:t>
      </w:r>
      <w:r w:rsidR="0085570E" w:rsidRPr="007B0ED8">
        <w:rPr>
          <w:rFonts w:ascii="Times New Roman" w:hAnsi="Times New Roman"/>
          <w:sz w:val="24"/>
          <w:szCs w:val="24"/>
        </w:rPr>
        <w:t xml:space="preserve"> I detta sammanhang kan framföral</w:t>
      </w:r>
      <w:r w:rsidR="000A1DDB" w:rsidRPr="007B0ED8">
        <w:rPr>
          <w:rFonts w:ascii="Times New Roman" w:hAnsi="Times New Roman"/>
          <w:sz w:val="24"/>
          <w:szCs w:val="24"/>
        </w:rPr>
        <w:t>l</w:t>
      </w:r>
      <w:r w:rsidR="0085570E" w:rsidRPr="007B0ED8">
        <w:rPr>
          <w:rFonts w:ascii="Times New Roman" w:hAnsi="Times New Roman"/>
          <w:sz w:val="24"/>
          <w:szCs w:val="24"/>
        </w:rPr>
        <w:t>t Augustinus av Hippo</w:t>
      </w:r>
      <w:r w:rsidR="00C95290" w:rsidRPr="007B0ED8">
        <w:rPr>
          <w:rFonts w:ascii="Times New Roman" w:hAnsi="Times New Roman"/>
          <w:sz w:val="24"/>
          <w:szCs w:val="24"/>
        </w:rPr>
        <w:t>s</w:t>
      </w:r>
      <w:r w:rsidR="0085570E" w:rsidRPr="007B0ED8">
        <w:rPr>
          <w:rFonts w:ascii="Times New Roman" w:hAnsi="Times New Roman"/>
          <w:sz w:val="24"/>
          <w:szCs w:val="24"/>
        </w:rPr>
        <w:t>,</w:t>
      </w:r>
      <w:r w:rsidR="009B1EFF" w:rsidRPr="007B0ED8">
        <w:rPr>
          <w:rFonts w:ascii="Times New Roman" w:hAnsi="Times New Roman"/>
          <w:sz w:val="24"/>
          <w:szCs w:val="24"/>
        </w:rPr>
        <w:t xml:space="preserve"> </w:t>
      </w:r>
      <w:proofErr w:type="spellStart"/>
      <w:r w:rsidR="009B1EFF" w:rsidRPr="007B0ED8">
        <w:rPr>
          <w:rFonts w:ascii="Times New Roman" w:hAnsi="Times New Roman"/>
          <w:sz w:val="24"/>
          <w:szCs w:val="24"/>
        </w:rPr>
        <w:t>Epiphanius</w:t>
      </w:r>
      <w:proofErr w:type="spellEnd"/>
      <w:r w:rsidR="009B1EFF" w:rsidRPr="007B0ED8">
        <w:rPr>
          <w:rFonts w:ascii="Times New Roman" w:hAnsi="Times New Roman"/>
          <w:sz w:val="24"/>
          <w:szCs w:val="24"/>
        </w:rPr>
        <w:t xml:space="preserve"> av Salamis</w:t>
      </w:r>
      <w:r w:rsidR="00C95290" w:rsidRPr="007B0ED8">
        <w:rPr>
          <w:rFonts w:ascii="Times New Roman" w:hAnsi="Times New Roman"/>
          <w:sz w:val="24"/>
          <w:szCs w:val="24"/>
        </w:rPr>
        <w:t xml:space="preserve">, Titus av </w:t>
      </w:r>
      <w:proofErr w:type="spellStart"/>
      <w:r w:rsidR="00C95290" w:rsidRPr="007B0ED8">
        <w:rPr>
          <w:rFonts w:ascii="Times New Roman" w:hAnsi="Times New Roman"/>
          <w:sz w:val="24"/>
          <w:szCs w:val="24"/>
        </w:rPr>
        <w:t>Bostras</w:t>
      </w:r>
      <w:proofErr w:type="spellEnd"/>
      <w:r w:rsidR="00C95290" w:rsidRPr="007B0ED8">
        <w:rPr>
          <w:rFonts w:ascii="Times New Roman" w:hAnsi="Times New Roman"/>
          <w:sz w:val="24"/>
          <w:szCs w:val="24"/>
        </w:rPr>
        <w:t xml:space="preserve">, </w:t>
      </w:r>
      <w:proofErr w:type="spellStart"/>
      <w:r w:rsidR="00321578" w:rsidRPr="007B0ED8">
        <w:rPr>
          <w:rFonts w:ascii="Times New Roman" w:hAnsi="Times New Roman"/>
          <w:sz w:val="24"/>
          <w:szCs w:val="24"/>
        </w:rPr>
        <w:lastRenderedPageBreak/>
        <w:t>Kyrilus</w:t>
      </w:r>
      <w:proofErr w:type="spellEnd"/>
      <w:r w:rsidR="00321578" w:rsidRPr="007B0ED8">
        <w:rPr>
          <w:rFonts w:ascii="Times New Roman" w:hAnsi="Times New Roman"/>
          <w:sz w:val="24"/>
          <w:szCs w:val="24"/>
        </w:rPr>
        <w:t xml:space="preserve"> av Jerusalems </w:t>
      </w:r>
      <w:r w:rsidR="00505739" w:rsidRPr="007B0ED8">
        <w:rPr>
          <w:rFonts w:ascii="Times New Roman" w:hAnsi="Times New Roman"/>
          <w:sz w:val="24"/>
          <w:szCs w:val="24"/>
        </w:rPr>
        <w:t xml:space="preserve">och Alexander av Lykopolis </w:t>
      </w:r>
      <w:r w:rsidR="00321578" w:rsidRPr="007B0ED8">
        <w:rPr>
          <w:rFonts w:ascii="Times New Roman" w:hAnsi="Times New Roman"/>
          <w:sz w:val="24"/>
          <w:szCs w:val="24"/>
        </w:rPr>
        <w:t>antimanikeiska skrifter nämnas.</w:t>
      </w:r>
      <w:r w:rsidR="00505739" w:rsidRPr="007B0ED8">
        <w:rPr>
          <w:rStyle w:val="Fotnotsreferens"/>
          <w:rFonts w:ascii="Times New Roman" w:hAnsi="Times New Roman"/>
          <w:sz w:val="24"/>
          <w:szCs w:val="24"/>
        </w:rPr>
        <w:footnoteReference w:id="2"/>
      </w:r>
      <w:r w:rsidR="00987815" w:rsidRPr="007B0ED8">
        <w:rPr>
          <w:rFonts w:ascii="Times New Roman" w:hAnsi="Times New Roman"/>
          <w:sz w:val="24"/>
          <w:szCs w:val="24"/>
        </w:rPr>
        <w:t xml:space="preserve"> Under 1800-talet utökades källorna genom nya fynd i väst</w:t>
      </w:r>
      <w:r w:rsidR="0034468E" w:rsidRPr="007B0ED8">
        <w:rPr>
          <w:rFonts w:ascii="Times New Roman" w:hAnsi="Times New Roman"/>
          <w:sz w:val="24"/>
          <w:szCs w:val="24"/>
        </w:rPr>
        <w:t xml:space="preserve"> i form av patristiskt material på grekiska och syriska</w:t>
      </w:r>
      <w:r w:rsidR="00987815" w:rsidRPr="007B0ED8">
        <w:rPr>
          <w:rFonts w:ascii="Times New Roman" w:hAnsi="Times New Roman"/>
          <w:sz w:val="24"/>
          <w:szCs w:val="24"/>
        </w:rPr>
        <w:t xml:space="preserve">, </w:t>
      </w:r>
      <w:r w:rsidR="00475BD2" w:rsidRPr="007B0ED8">
        <w:rPr>
          <w:rFonts w:ascii="Times New Roman" w:hAnsi="Times New Roman"/>
          <w:sz w:val="24"/>
          <w:szCs w:val="24"/>
        </w:rPr>
        <w:t xml:space="preserve">samt </w:t>
      </w:r>
      <w:r w:rsidR="00987815" w:rsidRPr="007B0ED8">
        <w:rPr>
          <w:rFonts w:ascii="Times New Roman" w:hAnsi="Times New Roman"/>
          <w:sz w:val="24"/>
          <w:szCs w:val="24"/>
        </w:rPr>
        <w:t>genom en ökad medvetenhet om de muslimska apologeternas arabiska texter.</w:t>
      </w:r>
      <w:r w:rsidR="00765777" w:rsidRPr="007B0ED8">
        <w:rPr>
          <w:rFonts w:ascii="Times New Roman" w:hAnsi="Times New Roman"/>
          <w:sz w:val="24"/>
          <w:szCs w:val="24"/>
        </w:rPr>
        <w:t xml:space="preserve"> Men </w:t>
      </w:r>
      <w:r w:rsidR="0034468E" w:rsidRPr="007B0ED8">
        <w:rPr>
          <w:rFonts w:ascii="Times New Roman" w:hAnsi="Times New Roman"/>
          <w:sz w:val="24"/>
          <w:szCs w:val="24"/>
        </w:rPr>
        <w:t xml:space="preserve">det var </w:t>
      </w:r>
      <w:r w:rsidR="00765777" w:rsidRPr="007B0ED8">
        <w:rPr>
          <w:rFonts w:ascii="Times New Roman" w:hAnsi="Times New Roman"/>
          <w:sz w:val="24"/>
          <w:szCs w:val="24"/>
        </w:rPr>
        <w:t xml:space="preserve">under tidigt 1900-tal </w:t>
      </w:r>
      <w:r w:rsidR="0034468E" w:rsidRPr="007B0ED8">
        <w:rPr>
          <w:rFonts w:ascii="Times New Roman" w:hAnsi="Times New Roman"/>
          <w:sz w:val="24"/>
          <w:szCs w:val="24"/>
        </w:rPr>
        <w:t xml:space="preserve">som </w:t>
      </w:r>
      <w:r w:rsidR="00765777" w:rsidRPr="007B0ED8">
        <w:rPr>
          <w:rFonts w:ascii="Times New Roman" w:hAnsi="Times New Roman"/>
          <w:sz w:val="24"/>
          <w:szCs w:val="24"/>
        </w:rPr>
        <w:t xml:space="preserve">källorna </w:t>
      </w:r>
      <w:r w:rsidR="0034468E" w:rsidRPr="007B0ED8">
        <w:rPr>
          <w:rFonts w:ascii="Times New Roman" w:hAnsi="Times New Roman"/>
          <w:sz w:val="24"/>
          <w:szCs w:val="24"/>
        </w:rPr>
        <w:t xml:space="preserve">utökades </w:t>
      </w:r>
      <w:r w:rsidR="00765777" w:rsidRPr="007B0ED8">
        <w:rPr>
          <w:rFonts w:ascii="Times New Roman" w:hAnsi="Times New Roman"/>
          <w:sz w:val="24"/>
          <w:szCs w:val="24"/>
        </w:rPr>
        <w:t>väsentligt.</w:t>
      </w:r>
      <w:r w:rsidR="00C13B0D" w:rsidRPr="007B0ED8">
        <w:rPr>
          <w:rFonts w:ascii="Times New Roman" w:hAnsi="Times New Roman"/>
          <w:sz w:val="24"/>
          <w:szCs w:val="24"/>
        </w:rPr>
        <w:t xml:space="preserve"> Ett fantastiskt värdefullt fynd gjordes i Östra Turkestan. 1904 kungjorde </w:t>
      </w:r>
      <w:r w:rsidR="00C13B0D" w:rsidRPr="007B0ED8">
        <w:rPr>
          <w:rFonts w:ascii="Times New Roman" w:hAnsi="Times New Roman"/>
          <w:sz w:val="24"/>
          <w:szCs w:val="24"/>
          <w:lang w:val="de-DE"/>
        </w:rPr>
        <w:t xml:space="preserve">Friedrich Wilhelm Karl Müller </w:t>
      </w:r>
      <w:proofErr w:type="spellStart"/>
      <w:r w:rsidR="00C13B0D" w:rsidRPr="007B0ED8">
        <w:rPr>
          <w:rFonts w:ascii="Times New Roman" w:hAnsi="Times New Roman"/>
          <w:sz w:val="24"/>
          <w:szCs w:val="24"/>
          <w:lang w:val="de-DE"/>
        </w:rPr>
        <w:t>att</w:t>
      </w:r>
      <w:proofErr w:type="spellEnd"/>
      <w:r w:rsidR="00C13B0D" w:rsidRPr="007B0ED8">
        <w:rPr>
          <w:rFonts w:ascii="Times New Roman" w:hAnsi="Times New Roman"/>
          <w:sz w:val="24"/>
          <w:szCs w:val="24"/>
          <w:lang w:val="de-DE"/>
        </w:rPr>
        <w:t xml:space="preserve"> e</w:t>
      </w:r>
      <w:r w:rsidR="00C13B0D" w:rsidRPr="007B0ED8">
        <w:rPr>
          <w:rFonts w:ascii="Times New Roman" w:hAnsi="Times New Roman"/>
          <w:sz w:val="24"/>
          <w:szCs w:val="24"/>
        </w:rPr>
        <w:t>n tysk arkeologisk expedition funnit stora mängder av fragmentarisk manikeiskt material. Texterna var skrivna på p</w:t>
      </w:r>
      <w:r w:rsidR="00C13B0D" w:rsidRPr="007B0ED8">
        <w:rPr>
          <w:rFonts w:ascii="Times New Roman" w:hAnsi="Times New Roman" w:cs="Courier New"/>
          <w:sz w:val="24"/>
          <w:szCs w:val="24"/>
        </w:rPr>
        <w:t xml:space="preserve">artiska, </w:t>
      </w:r>
      <w:r w:rsidR="001B6317" w:rsidRPr="007B0ED8">
        <w:rPr>
          <w:rFonts w:ascii="Times New Roman" w:hAnsi="Times New Roman" w:cs="Courier New"/>
          <w:sz w:val="24"/>
          <w:szCs w:val="24"/>
        </w:rPr>
        <w:t>flera persiska varianter</w:t>
      </w:r>
      <w:r w:rsidR="00C13B0D" w:rsidRPr="007B0ED8">
        <w:rPr>
          <w:rFonts w:ascii="Times New Roman" w:hAnsi="Times New Roman" w:cs="Courier New"/>
          <w:sz w:val="24"/>
          <w:szCs w:val="24"/>
        </w:rPr>
        <w:t xml:space="preserve">, </w:t>
      </w:r>
      <w:proofErr w:type="spellStart"/>
      <w:r w:rsidR="00EF7E56" w:rsidRPr="007B0ED8">
        <w:rPr>
          <w:rFonts w:ascii="Times New Roman" w:hAnsi="Times New Roman" w:cs="Courier New"/>
          <w:sz w:val="24"/>
          <w:szCs w:val="24"/>
        </w:rPr>
        <w:t>sogdiska</w:t>
      </w:r>
      <w:proofErr w:type="spellEnd"/>
      <w:r w:rsidR="00EF7E56" w:rsidRPr="007B0ED8">
        <w:rPr>
          <w:rFonts w:ascii="Times New Roman" w:hAnsi="Times New Roman" w:cs="Courier New"/>
          <w:sz w:val="24"/>
          <w:szCs w:val="24"/>
        </w:rPr>
        <w:t>, tokhariska, b</w:t>
      </w:r>
      <w:r w:rsidR="00C13B0D" w:rsidRPr="007B0ED8">
        <w:rPr>
          <w:rFonts w:ascii="Times New Roman" w:hAnsi="Times New Roman" w:cs="Courier New"/>
          <w:sz w:val="24"/>
          <w:szCs w:val="24"/>
        </w:rPr>
        <w:t xml:space="preserve">aktriska </w:t>
      </w:r>
      <w:r w:rsidR="0034468E" w:rsidRPr="007B0ED8">
        <w:rPr>
          <w:rFonts w:ascii="Times New Roman" w:hAnsi="Times New Roman" w:cs="Courier New"/>
          <w:sz w:val="24"/>
          <w:szCs w:val="24"/>
        </w:rPr>
        <w:t xml:space="preserve">och </w:t>
      </w:r>
      <w:r w:rsidR="00C13B0D" w:rsidRPr="007B0ED8">
        <w:rPr>
          <w:rFonts w:ascii="Times New Roman" w:hAnsi="Times New Roman" w:cs="Courier New"/>
          <w:sz w:val="24"/>
          <w:szCs w:val="24"/>
        </w:rPr>
        <w:t>turkiska.</w:t>
      </w:r>
      <w:r w:rsidR="0034468E" w:rsidRPr="007B0ED8">
        <w:rPr>
          <w:rStyle w:val="Fotnotsreferens"/>
          <w:rFonts w:ascii="Times New Roman" w:hAnsi="Times New Roman" w:cs="Courier New"/>
          <w:sz w:val="24"/>
          <w:szCs w:val="24"/>
        </w:rPr>
        <w:footnoteReference w:id="3"/>
      </w:r>
      <w:r w:rsidR="00CE39E0" w:rsidRPr="007B0ED8">
        <w:rPr>
          <w:rFonts w:ascii="Times New Roman" w:hAnsi="Times New Roman" w:cs="Courier New"/>
          <w:sz w:val="24"/>
          <w:szCs w:val="24"/>
        </w:rPr>
        <w:t xml:space="preserve"> Här möter vi ett av problemen som den som vill studera manikeism stöter på. Källorna är på en mängd döda språk som ofta varit otillräckligt utforskade. Studiet av de nya texterna blir på så vis även ett filologiskt grundforskningsarbete </w:t>
      </w:r>
      <w:r w:rsidR="0037733D" w:rsidRPr="007B0ED8">
        <w:rPr>
          <w:rFonts w:ascii="Times New Roman" w:hAnsi="Times New Roman" w:cs="Courier New"/>
          <w:sz w:val="24"/>
          <w:szCs w:val="24"/>
        </w:rPr>
        <w:t xml:space="preserve">och därmed </w:t>
      </w:r>
      <w:r w:rsidR="001B6317" w:rsidRPr="007B0ED8">
        <w:rPr>
          <w:rFonts w:ascii="Times New Roman" w:hAnsi="Times New Roman" w:cs="Courier New"/>
          <w:sz w:val="24"/>
          <w:szCs w:val="24"/>
        </w:rPr>
        <w:t xml:space="preserve">samtidigt </w:t>
      </w:r>
      <w:r w:rsidR="00CE39E0" w:rsidRPr="007B0ED8">
        <w:rPr>
          <w:rFonts w:ascii="Times New Roman" w:hAnsi="Times New Roman" w:cs="Courier New"/>
          <w:sz w:val="24"/>
          <w:szCs w:val="24"/>
        </w:rPr>
        <w:t xml:space="preserve">intressant på </w:t>
      </w:r>
      <w:r w:rsidR="0037733D" w:rsidRPr="007B0ED8">
        <w:rPr>
          <w:rFonts w:ascii="Times New Roman" w:hAnsi="Times New Roman" w:cs="Courier New"/>
          <w:sz w:val="24"/>
          <w:szCs w:val="24"/>
        </w:rPr>
        <w:t xml:space="preserve">än </w:t>
      </w:r>
      <w:r w:rsidR="00CE39E0" w:rsidRPr="007B0ED8">
        <w:rPr>
          <w:rFonts w:ascii="Times New Roman" w:hAnsi="Times New Roman" w:cs="Courier New"/>
          <w:sz w:val="24"/>
          <w:szCs w:val="24"/>
        </w:rPr>
        <w:t>fler sätt. Turfanfyndet är ännu inte publicerat i sin helhet eftersom nya textfynd fortfarande görs.</w:t>
      </w:r>
      <w:r w:rsidR="00775735" w:rsidRPr="007B0ED8">
        <w:rPr>
          <w:rFonts w:ascii="Times New Roman" w:hAnsi="Times New Roman" w:cs="Courier New"/>
          <w:sz w:val="24"/>
          <w:szCs w:val="24"/>
        </w:rPr>
        <w:t xml:space="preserve"> 1907 började även kinesiska manikeiska texter komma i forskarhänder. Här kan Dun-</w:t>
      </w:r>
      <w:proofErr w:type="spellStart"/>
      <w:r w:rsidR="00775735" w:rsidRPr="007B0ED8">
        <w:rPr>
          <w:rFonts w:ascii="Times New Roman" w:hAnsi="Times New Roman" w:cs="Courier New"/>
          <w:sz w:val="24"/>
          <w:szCs w:val="24"/>
        </w:rPr>
        <w:t>huangtexterna</w:t>
      </w:r>
      <w:proofErr w:type="spellEnd"/>
      <w:r w:rsidR="00775735" w:rsidRPr="007B0ED8">
        <w:rPr>
          <w:rFonts w:ascii="Times New Roman" w:hAnsi="Times New Roman" w:cs="Courier New"/>
          <w:sz w:val="24"/>
          <w:szCs w:val="24"/>
        </w:rPr>
        <w:t xml:space="preserve"> nämnas. </w:t>
      </w:r>
      <w:r w:rsidR="001B6317" w:rsidRPr="007B0ED8">
        <w:rPr>
          <w:rFonts w:ascii="Times New Roman" w:hAnsi="Times New Roman" w:cs="Courier New"/>
          <w:sz w:val="24"/>
          <w:szCs w:val="24"/>
        </w:rPr>
        <w:t xml:space="preserve">Därutöver </w:t>
      </w:r>
      <w:r w:rsidR="00775735" w:rsidRPr="007B0ED8">
        <w:rPr>
          <w:rFonts w:ascii="Times New Roman" w:hAnsi="Times New Roman" w:cs="Courier New"/>
          <w:sz w:val="24"/>
          <w:szCs w:val="24"/>
        </w:rPr>
        <w:t xml:space="preserve">har de texter som </w:t>
      </w:r>
      <w:proofErr w:type="spellStart"/>
      <w:r w:rsidR="00775735" w:rsidRPr="007B0ED8">
        <w:rPr>
          <w:rFonts w:ascii="Times New Roman" w:hAnsi="Times New Roman" w:cs="Courier New"/>
          <w:sz w:val="24"/>
          <w:szCs w:val="24"/>
        </w:rPr>
        <w:t>Edoard</w:t>
      </w:r>
      <w:proofErr w:type="spellEnd"/>
      <w:r w:rsidR="00775735" w:rsidRPr="007B0ED8">
        <w:rPr>
          <w:rFonts w:ascii="Times New Roman" w:hAnsi="Times New Roman" w:cs="Courier New"/>
          <w:sz w:val="24"/>
          <w:szCs w:val="24"/>
        </w:rPr>
        <w:t xml:space="preserve"> </w:t>
      </w:r>
      <w:proofErr w:type="spellStart"/>
      <w:r w:rsidR="00775735" w:rsidRPr="007B0ED8">
        <w:rPr>
          <w:rFonts w:ascii="Times New Roman" w:hAnsi="Times New Roman" w:cs="Courier New"/>
          <w:sz w:val="24"/>
          <w:szCs w:val="24"/>
        </w:rPr>
        <w:t>Chavannes</w:t>
      </w:r>
      <w:proofErr w:type="spellEnd"/>
      <w:r w:rsidR="00775735" w:rsidRPr="007B0ED8">
        <w:rPr>
          <w:rFonts w:ascii="Times New Roman" w:hAnsi="Times New Roman" w:cs="Courier New"/>
          <w:sz w:val="24"/>
          <w:szCs w:val="24"/>
        </w:rPr>
        <w:t xml:space="preserve"> och Paul </w:t>
      </w:r>
      <w:proofErr w:type="spellStart"/>
      <w:r w:rsidR="00775735" w:rsidRPr="007B0ED8">
        <w:rPr>
          <w:rFonts w:ascii="Times New Roman" w:hAnsi="Times New Roman" w:cs="Courier New"/>
          <w:sz w:val="24"/>
          <w:szCs w:val="24"/>
        </w:rPr>
        <w:t>Pelliot</w:t>
      </w:r>
      <w:proofErr w:type="spellEnd"/>
      <w:r w:rsidR="00E33901" w:rsidRPr="007B0ED8">
        <w:rPr>
          <w:rFonts w:ascii="Times New Roman" w:hAnsi="Times New Roman" w:cs="Courier New"/>
          <w:sz w:val="24"/>
          <w:szCs w:val="24"/>
        </w:rPr>
        <w:t xml:space="preserve"> publicerade 1911 och 1913 varit än mer betydelsefulla.</w:t>
      </w:r>
      <w:r w:rsidR="00E33901" w:rsidRPr="007B0ED8">
        <w:rPr>
          <w:rStyle w:val="Fotnotsreferens"/>
          <w:rFonts w:ascii="Times New Roman" w:hAnsi="Times New Roman" w:cs="Courier New"/>
          <w:sz w:val="24"/>
          <w:szCs w:val="24"/>
        </w:rPr>
        <w:footnoteReference w:id="4"/>
      </w:r>
      <w:r w:rsidR="00EE6FE3" w:rsidRPr="007B0ED8">
        <w:rPr>
          <w:rFonts w:ascii="Times New Roman" w:hAnsi="Times New Roman" w:cs="Courier New"/>
          <w:sz w:val="24"/>
          <w:szCs w:val="24"/>
        </w:rPr>
        <w:t xml:space="preserve"> </w:t>
      </w:r>
      <w:r w:rsidR="001B6317" w:rsidRPr="007B0ED8">
        <w:rPr>
          <w:rFonts w:ascii="Times New Roman" w:hAnsi="Times New Roman" w:cs="Courier New"/>
          <w:sz w:val="24"/>
          <w:szCs w:val="24"/>
        </w:rPr>
        <w:t xml:space="preserve"> 1929 gjordes ett nytt stort textfynd</w:t>
      </w:r>
      <w:r w:rsidR="00BB2D70" w:rsidRPr="007B0ED8">
        <w:rPr>
          <w:rFonts w:ascii="Times New Roman" w:hAnsi="Times New Roman" w:cs="Courier New"/>
          <w:sz w:val="24"/>
          <w:szCs w:val="24"/>
        </w:rPr>
        <w:t>, den</w:t>
      </w:r>
      <w:r w:rsidR="00AD653D" w:rsidRPr="007B0ED8">
        <w:rPr>
          <w:rFonts w:ascii="Times New Roman" w:hAnsi="Times New Roman" w:cs="Courier New"/>
          <w:sz w:val="24"/>
          <w:szCs w:val="24"/>
        </w:rPr>
        <w:t>n</w:t>
      </w:r>
      <w:r w:rsidR="00BB2D70" w:rsidRPr="007B0ED8">
        <w:rPr>
          <w:rFonts w:ascii="Times New Roman" w:hAnsi="Times New Roman" w:cs="Courier New"/>
          <w:sz w:val="24"/>
          <w:szCs w:val="24"/>
        </w:rPr>
        <w:t>a gång i Egypten</w:t>
      </w:r>
      <w:r w:rsidR="001B6317" w:rsidRPr="007B0ED8">
        <w:rPr>
          <w:rFonts w:ascii="Times New Roman" w:hAnsi="Times New Roman" w:cs="Courier New"/>
          <w:sz w:val="24"/>
          <w:szCs w:val="24"/>
        </w:rPr>
        <w:t>.</w:t>
      </w:r>
      <w:r w:rsidR="00BB2D70" w:rsidRPr="007B0ED8">
        <w:rPr>
          <w:rFonts w:ascii="Times New Roman" w:hAnsi="Times New Roman" w:cs="Courier New"/>
          <w:sz w:val="24"/>
          <w:szCs w:val="24"/>
        </w:rPr>
        <w:t xml:space="preserve"> I det så kallade </w:t>
      </w:r>
      <w:proofErr w:type="spellStart"/>
      <w:r w:rsidR="00BB2D70" w:rsidRPr="007B0ED8">
        <w:rPr>
          <w:rFonts w:ascii="Times New Roman" w:hAnsi="Times New Roman" w:cs="Courier New"/>
          <w:sz w:val="24"/>
          <w:szCs w:val="24"/>
        </w:rPr>
        <w:t>Medinet</w:t>
      </w:r>
      <w:proofErr w:type="spellEnd"/>
      <w:r w:rsidR="00BB2D70" w:rsidRPr="007B0ED8">
        <w:rPr>
          <w:rFonts w:ascii="Times New Roman" w:hAnsi="Times New Roman" w:cs="Courier New"/>
          <w:sz w:val="24"/>
          <w:szCs w:val="24"/>
        </w:rPr>
        <w:t xml:space="preserve"> </w:t>
      </w:r>
      <w:proofErr w:type="spellStart"/>
      <w:r w:rsidR="00BB2D70" w:rsidRPr="007B0ED8">
        <w:rPr>
          <w:rFonts w:ascii="Times New Roman" w:hAnsi="Times New Roman" w:cs="Courier New"/>
          <w:sz w:val="24"/>
          <w:szCs w:val="24"/>
        </w:rPr>
        <w:t>Madi</w:t>
      </w:r>
      <w:proofErr w:type="spellEnd"/>
      <w:r w:rsidR="007146B6" w:rsidRPr="007B0ED8">
        <w:rPr>
          <w:rFonts w:ascii="Times New Roman" w:hAnsi="Times New Roman" w:cs="Courier New"/>
          <w:sz w:val="24"/>
          <w:szCs w:val="24"/>
        </w:rPr>
        <w:t>-</w:t>
      </w:r>
      <w:r w:rsidR="00BB2D70" w:rsidRPr="007B0ED8">
        <w:rPr>
          <w:rFonts w:ascii="Times New Roman" w:hAnsi="Times New Roman" w:cs="Courier New"/>
          <w:sz w:val="24"/>
          <w:szCs w:val="24"/>
        </w:rPr>
        <w:t>biblioteket</w:t>
      </w:r>
      <w:r w:rsidR="00AD653D" w:rsidRPr="007B0ED8">
        <w:rPr>
          <w:rFonts w:ascii="Times New Roman" w:hAnsi="Times New Roman" w:cs="Courier New"/>
          <w:sz w:val="24"/>
          <w:szCs w:val="24"/>
        </w:rPr>
        <w:t xml:space="preserve"> återfanns sju böcker. Här vill jag framförallt framhålla den </w:t>
      </w:r>
      <w:r w:rsidR="00AD653D" w:rsidRPr="007B0ED8">
        <w:rPr>
          <w:rFonts w:ascii="Times New Roman" w:hAnsi="Times New Roman" w:cs="Courier New"/>
          <w:i/>
          <w:sz w:val="24"/>
          <w:szCs w:val="24"/>
        </w:rPr>
        <w:t>manikeiska Psalmboken</w:t>
      </w:r>
      <w:r w:rsidR="00AD653D" w:rsidRPr="007B0ED8">
        <w:rPr>
          <w:rFonts w:ascii="Times New Roman" w:hAnsi="Times New Roman" w:cs="Courier New"/>
          <w:sz w:val="24"/>
          <w:szCs w:val="24"/>
        </w:rPr>
        <w:t>,</w:t>
      </w:r>
      <w:r w:rsidR="001455FB" w:rsidRPr="007B0ED8">
        <w:rPr>
          <w:rStyle w:val="Fotnotsreferens"/>
          <w:rFonts w:ascii="Times New Roman" w:hAnsi="Times New Roman" w:cs="Courier New"/>
          <w:sz w:val="24"/>
          <w:szCs w:val="24"/>
        </w:rPr>
        <w:footnoteReference w:id="5"/>
      </w:r>
      <w:r w:rsidR="00AD653D" w:rsidRPr="007B0ED8">
        <w:rPr>
          <w:rFonts w:ascii="Times New Roman" w:hAnsi="Times New Roman" w:cs="Courier New"/>
          <w:sz w:val="24"/>
          <w:szCs w:val="24"/>
        </w:rPr>
        <w:t xml:space="preserve"> </w:t>
      </w:r>
      <w:proofErr w:type="spellStart"/>
      <w:r w:rsidR="00AD653D" w:rsidRPr="007B0ED8">
        <w:rPr>
          <w:rFonts w:ascii="Times New Roman" w:hAnsi="Times New Roman" w:cs="Courier New"/>
          <w:i/>
          <w:sz w:val="24"/>
          <w:szCs w:val="24"/>
        </w:rPr>
        <w:t>Kephalaia</w:t>
      </w:r>
      <w:proofErr w:type="spellEnd"/>
      <w:r w:rsidR="00AD653D" w:rsidRPr="007B0ED8">
        <w:rPr>
          <w:rFonts w:ascii="Times New Roman" w:hAnsi="Times New Roman" w:cs="Courier New"/>
          <w:sz w:val="24"/>
          <w:szCs w:val="24"/>
        </w:rPr>
        <w:t xml:space="preserve"> i två volymer</w:t>
      </w:r>
      <w:r w:rsidR="00560352" w:rsidRPr="007B0ED8">
        <w:rPr>
          <w:rStyle w:val="Fotnotsreferens"/>
          <w:rFonts w:ascii="Times New Roman" w:hAnsi="Times New Roman" w:cs="Courier New"/>
          <w:sz w:val="24"/>
          <w:szCs w:val="24"/>
        </w:rPr>
        <w:footnoteReference w:id="6"/>
      </w:r>
      <w:r w:rsidR="00AD653D" w:rsidRPr="007B0ED8">
        <w:rPr>
          <w:rFonts w:ascii="Times New Roman" w:hAnsi="Times New Roman" w:cs="Courier New"/>
          <w:sz w:val="24"/>
          <w:szCs w:val="24"/>
        </w:rPr>
        <w:t xml:space="preserve"> och </w:t>
      </w:r>
      <w:r w:rsidR="00AD653D" w:rsidRPr="007B0ED8">
        <w:rPr>
          <w:rFonts w:ascii="Times New Roman" w:hAnsi="Times New Roman" w:cs="Courier New"/>
          <w:i/>
          <w:sz w:val="24"/>
          <w:szCs w:val="24"/>
        </w:rPr>
        <w:t>homilierna</w:t>
      </w:r>
      <w:r w:rsidR="00AD653D" w:rsidRPr="007B0ED8">
        <w:rPr>
          <w:rFonts w:ascii="Times New Roman" w:hAnsi="Times New Roman" w:cs="Courier New"/>
          <w:sz w:val="24"/>
          <w:szCs w:val="24"/>
        </w:rPr>
        <w:t>.</w:t>
      </w:r>
      <w:r w:rsidR="004B3CD0" w:rsidRPr="007B0ED8">
        <w:rPr>
          <w:rStyle w:val="Fotnotsreferens"/>
          <w:rFonts w:ascii="Times New Roman" w:hAnsi="Times New Roman" w:cs="Courier New"/>
          <w:sz w:val="24"/>
          <w:szCs w:val="24"/>
        </w:rPr>
        <w:footnoteReference w:id="7"/>
      </w:r>
      <w:r w:rsidR="0037733D" w:rsidRPr="007B0ED8">
        <w:rPr>
          <w:rFonts w:ascii="Times New Roman" w:hAnsi="Times New Roman" w:cs="Courier New"/>
          <w:sz w:val="24"/>
          <w:szCs w:val="24"/>
        </w:rPr>
        <w:t xml:space="preserve"> I och med detta införlivades även de forskare som arbetar med koptiska, det fornegyptiska språkets sista fas, i den mångspråkiga grupp som krävs för studiet </w:t>
      </w:r>
      <w:r w:rsidR="006D295C" w:rsidRPr="007B0ED8">
        <w:rPr>
          <w:rFonts w:ascii="Times New Roman" w:hAnsi="Times New Roman" w:cs="Courier New"/>
          <w:sz w:val="24"/>
          <w:szCs w:val="24"/>
        </w:rPr>
        <w:t xml:space="preserve">av </w:t>
      </w:r>
      <w:r w:rsidR="0037733D" w:rsidRPr="007B0ED8">
        <w:rPr>
          <w:rFonts w:ascii="Times New Roman" w:hAnsi="Times New Roman" w:cs="Courier New"/>
          <w:sz w:val="24"/>
          <w:szCs w:val="24"/>
        </w:rPr>
        <w:t>manikeism.</w:t>
      </w:r>
    </w:p>
    <w:p w:rsidR="00F4276D" w:rsidRPr="007B0ED8" w:rsidRDefault="00F4276D" w:rsidP="00DE13BC">
      <w:pPr>
        <w:rPr>
          <w:rFonts w:ascii="Times New Roman" w:hAnsi="Times New Roman" w:cs="Courier New"/>
          <w:sz w:val="24"/>
          <w:szCs w:val="24"/>
        </w:rPr>
      </w:pPr>
    </w:p>
    <w:p w:rsidR="007A48BA" w:rsidRPr="007B0ED8" w:rsidRDefault="000A3345" w:rsidP="00DE13BC">
      <w:pPr>
        <w:rPr>
          <w:rFonts w:ascii="Times New Roman" w:hAnsi="Times New Roman" w:cs="Courier New"/>
          <w:sz w:val="24"/>
          <w:szCs w:val="24"/>
        </w:rPr>
      </w:pPr>
      <w:r w:rsidRPr="007B0ED8">
        <w:rPr>
          <w:rFonts w:ascii="Times New Roman" w:hAnsi="Times New Roman" w:cs="Courier New"/>
          <w:sz w:val="24"/>
          <w:szCs w:val="24"/>
        </w:rPr>
        <w:t xml:space="preserve">Andra världskriget blev ödesdigert för </w:t>
      </w:r>
      <w:r w:rsidR="006D295C" w:rsidRPr="007B0ED8">
        <w:rPr>
          <w:rFonts w:ascii="Times New Roman" w:hAnsi="Times New Roman" w:cs="Courier New"/>
          <w:sz w:val="24"/>
          <w:szCs w:val="24"/>
        </w:rPr>
        <w:t xml:space="preserve">manikeiska studier. Två av volymerna från </w:t>
      </w:r>
      <w:proofErr w:type="spellStart"/>
      <w:r w:rsidR="006D295C" w:rsidRPr="007B0ED8">
        <w:rPr>
          <w:rFonts w:ascii="Times New Roman" w:hAnsi="Times New Roman" w:cs="Courier New"/>
          <w:sz w:val="24"/>
          <w:szCs w:val="24"/>
        </w:rPr>
        <w:t>Medinet</w:t>
      </w:r>
      <w:proofErr w:type="spellEnd"/>
      <w:r w:rsidR="006D295C" w:rsidRPr="007B0ED8">
        <w:rPr>
          <w:rFonts w:ascii="Times New Roman" w:hAnsi="Times New Roman" w:cs="Courier New"/>
          <w:sz w:val="24"/>
          <w:szCs w:val="24"/>
        </w:rPr>
        <w:t xml:space="preserve"> </w:t>
      </w:r>
      <w:proofErr w:type="spellStart"/>
      <w:r w:rsidR="006D295C" w:rsidRPr="007B0ED8">
        <w:rPr>
          <w:rFonts w:ascii="Times New Roman" w:hAnsi="Times New Roman" w:cs="Courier New"/>
          <w:sz w:val="24"/>
          <w:szCs w:val="24"/>
        </w:rPr>
        <w:t>Madi</w:t>
      </w:r>
      <w:proofErr w:type="spellEnd"/>
      <w:r w:rsidR="006D295C" w:rsidRPr="007B0ED8">
        <w:rPr>
          <w:rFonts w:ascii="Times New Roman" w:hAnsi="Times New Roman" w:cs="Courier New"/>
          <w:sz w:val="24"/>
          <w:szCs w:val="24"/>
        </w:rPr>
        <w:t xml:space="preserve"> försvann och arbetet med det koptiska </w:t>
      </w:r>
      <w:r w:rsidR="00FD5444" w:rsidRPr="007B0ED8">
        <w:rPr>
          <w:rFonts w:ascii="Times New Roman" w:hAnsi="Times New Roman" w:cs="Courier New"/>
          <w:sz w:val="24"/>
          <w:szCs w:val="24"/>
        </w:rPr>
        <w:t xml:space="preserve">och det </w:t>
      </w:r>
      <w:r w:rsidR="006D295C" w:rsidRPr="007B0ED8">
        <w:rPr>
          <w:rFonts w:ascii="Times New Roman" w:hAnsi="Times New Roman" w:cs="Courier New"/>
          <w:sz w:val="24"/>
          <w:szCs w:val="24"/>
        </w:rPr>
        <w:t xml:space="preserve">centralasiatiska materialet fortskred </w:t>
      </w:r>
      <w:r w:rsidR="00EF0B69" w:rsidRPr="007B0ED8">
        <w:rPr>
          <w:rFonts w:ascii="Times New Roman" w:hAnsi="Times New Roman" w:cs="Courier New"/>
          <w:sz w:val="24"/>
          <w:szCs w:val="24"/>
        </w:rPr>
        <w:t xml:space="preserve">mycket </w:t>
      </w:r>
      <w:r w:rsidR="006D295C" w:rsidRPr="007B0ED8">
        <w:rPr>
          <w:rFonts w:ascii="Times New Roman" w:hAnsi="Times New Roman" w:cs="Courier New"/>
          <w:sz w:val="24"/>
          <w:szCs w:val="24"/>
        </w:rPr>
        <w:t xml:space="preserve">långsamt. </w:t>
      </w:r>
      <w:r w:rsidR="00891BEB" w:rsidRPr="007B0ED8">
        <w:rPr>
          <w:rFonts w:ascii="Times New Roman" w:hAnsi="Times New Roman" w:cs="Courier New"/>
          <w:sz w:val="24"/>
          <w:szCs w:val="24"/>
        </w:rPr>
        <w:t>F</w:t>
      </w:r>
      <w:r w:rsidR="006D295C" w:rsidRPr="007B0ED8">
        <w:rPr>
          <w:rFonts w:ascii="Times New Roman" w:hAnsi="Times New Roman" w:cs="Courier New"/>
          <w:sz w:val="24"/>
          <w:szCs w:val="24"/>
        </w:rPr>
        <w:t xml:space="preserve">örst under 1960-talet </w:t>
      </w:r>
      <w:r w:rsidR="000777E9" w:rsidRPr="007B0ED8">
        <w:rPr>
          <w:rFonts w:ascii="Times New Roman" w:hAnsi="Times New Roman" w:cs="Courier New"/>
          <w:sz w:val="24"/>
          <w:szCs w:val="24"/>
        </w:rPr>
        <w:t xml:space="preserve">blev det </w:t>
      </w:r>
      <w:r w:rsidR="006D295C" w:rsidRPr="007B0ED8">
        <w:rPr>
          <w:rFonts w:ascii="Times New Roman" w:hAnsi="Times New Roman" w:cs="Courier New"/>
          <w:sz w:val="24"/>
          <w:szCs w:val="24"/>
        </w:rPr>
        <w:t xml:space="preserve">åter ordentlig fart på arbetet med det centralasiatiska materialet och vad gäller det koptiska dröjde det till 1980-talet. Fortfarande återstår enormt mycket grundarbete i form av utgivning av kritiska utgåvor för att inte ens nämna den rikedom av material att analysera som </w:t>
      </w:r>
      <w:r w:rsidR="0074404C" w:rsidRPr="007B0ED8">
        <w:rPr>
          <w:rFonts w:ascii="Times New Roman" w:hAnsi="Times New Roman" w:cs="Courier New"/>
          <w:sz w:val="24"/>
          <w:szCs w:val="24"/>
        </w:rPr>
        <w:t xml:space="preserve">källorna </w:t>
      </w:r>
      <w:r w:rsidR="00FD5444" w:rsidRPr="007B0ED8">
        <w:rPr>
          <w:rFonts w:ascii="Times New Roman" w:hAnsi="Times New Roman" w:cs="Courier New"/>
          <w:sz w:val="24"/>
          <w:szCs w:val="24"/>
        </w:rPr>
        <w:t>utgör</w:t>
      </w:r>
      <w:r w:rsidR="006D295C" w:rsidRPr="007B0ED8">
        <w:rPr>
          <w:rFonts w:ascii="Times New Roman" w:hAnsi="Times New Roman" w:cs="Courier New"/>
          <w:sz w:val="24"/>
          <w:szCs w:val="24"/>
        </w:rPr>
        <w:t>.</w:t>
      </w:r>
      <w:r w:rsidR="00807961" w:rsidRPr="007B0ED8">
        <w:rPr>
          <w:rFonts w:ascii="Times New Roman" w:hAnsi="Times New Roman" w:cs="Courier New"/>
          <w:sz w:val="24"/>
          <w:szCs w:val="24"/>
        </w:rPr>
        <w:t xml:space="preserve"> </w:t>
      </w:r>
      <w:r w:rsidR="00B646BC" w:rsidRPr="007B0ED8">
        <w:rPr>
          <w:rFonts w:ascii="Times New Roman" w:hAnsi="Times New Roman" w:cs="Courier New"/>
          <w:sz w:val="24"/>
          <w:szCs w:val="24"/>
        </w:rPr>
        <w:t xml:space="preserve">1969 kunde </w:t>
      </w:r>
      <w:r w:rsidR="00807961" w:rsidRPr="007B0ED8">
        <w:rPr>
          <w:rFonts w:ascii="Times New Roman" w:hAnsi="Times New Roman" w:cs="Courier New"/>
          <w:sz w:val="24"/>
          <w:szCs w:val="24"/>
        </w:rPr>
        <w:t>universitetet i Köln köpa in en</w:t>
      </w:r>
      <w:r w:rsidR="0074404C" w:rsidRPr="007B0ED8">
        <w:rPr>
          <w:rFonts w:ascii="Times New Roman" w:hAnsi="Times New Roman" w:cs="Courier New"/>
          <w:sz w:val="24"/>
          <w:szCs w:val="24"/>
        </w:rPr>
        <w:t xml:space="preserve"> oerhört liten kodex med ursprung i den antika egyptiska staden Lykopolis. Boken som är skriven på grekiska är endast 3,</w:t>
      </w:r>
      <w:r w:rsidR="00CD7AA8" w:rsidRPr="007B0ED8">
        <w:rPr>
          <w:rFonts w:ascii="Times New Roman" w:hAnsi="Times New Roman" w:cs="Courier New"/>
          <w:sz w:val="24"/>
          <w:szCs w:val="24"/>
        </w:rPr>
        <w:t>5</w:t>
      </w:r>
      <w:r w:rsidR="0074404C" w:rsidRPr="007B0ED8">
        <w:rPr>
          <w:rFonts w:ascii="Times New Roman" w:hAnsi="Times New Roman" w:cs="Courier New"/>
          <w:sz w:val="24"/>
          <w:szCs w:val="24"/>
        </w:rPr>
        <w:t xml:space="preserve"> * 4,5 cm stor och innehåller en berättelse om hur Mani ska ha utvecklat sin lära.</w:t>
      </w:r>
      <w:r w:rsidR="00CD7AA8" w:rsidRPr="007B0ED8">
        <w:rPr>
          <w:rFonts w:ascii="Times New Roman" w:hAnsi="Times New Roman" w:cs="Courier New"/>
          <w:sz w:val="24"/>
          <w:szCs w:val="24"/>
        </w:rPr>
        <w:t xml:space="preserve"> Arbetet med texten ledde till en kritisk utgåva 1988.</w:t>
      </w:r>
      <w:r w:rsidR="00CD7AA8" w:rsidRPr="007B0ED8">
        <w:rPr>
          <w:rStyle w:val="Fotnotsreferens"/>
          <w:rFonts w:ascii="Times New Roman" w:hAnsi="Times New Roman" w:cs="Courier New"/>
          <w:sz w:val="24"/>
          <w:szCs w:val="24"/>
        </w:rPr>
        <w:footnoteReference w:id="8"/>
      </w:r>
      <w:r w:rsidR="00083D16" w:rsidRPr="007B0ED8">
        <w:rPr>
          <w:rFonts w:ascii="Times New Roman" w:hAnsi="Times New Roman" w:cs="Courier New"/>
          <w:sz w:val="24"/>
          <w:szCs w:val="24"/>
        </w:rPr>
        <w:t xml:space="preserve"> </w:t>
      </w:r>
    </w:p>
    <w:p w:rsidR="00372C55" w:rsidRPr="007B0ED8" w:rsidRDefault="00372C55" w:rsidP="0082156E">
      <w:pPr>
        <w:ind w:firstLine="1304"/>
        <w:rPr>
          <w:rFonts w:ascii="Times New Roman" w:hAnsi="Times New Roman" w:cs="Courier New"/>
          <w:sz w:val="24"/>
          <w:szCs w:val="24"/>
        </w:rPr>
      </w:pPr>
    </w:p>
    <w:p w:rsidR="001D45A1" w:rsidRPr="007B0ED8" w:rsidRDefault="00083D16" w:rsidP="002B6AF8">
      <w:pPr>
        <w:rPr>
          <w:rFonts w:ascii="Times New Roman" w:hAnsi="Times New Roman" w:cs="Courier New"/>
          <w:sz w:val="24"/>
          <w:szCs w:val="24"/>
        </w:rPr>
      </w:pPr>
      <w:r w:rsidRPr="007B0ED8">
        <w:rPr>
          <w:rFonts w:ascii="Times New Roman" w:hAnsi="Times New Roman" w:cs="Courier New"/>
          <w:sz w:val="24"/>
          <w:szCs w:val="24"/>
        </w:rPr>
        <w:t>Det material som vi hitti</w:t>
      </w:r>
      <w:r w:rsidR="008C4540" w:rsidRPr="007B0ED8">
        <w:rPr>
          <w:rFonts w:ascii="Times New Roman" w:hAnsi="Times New Roman" w:cs="Courier New"/>
          <w:sz w:val="24"/>
          <w:szCs w:val="24"/>
        </w:rPr>
        <w:t>l</w:t>
      </w:r>
      <w:r w:rsidRPr="007B0ED8">
        <w:rPr>
          <w:rFonts w:ascii="Times New Roman" w:hAnsi="Times New Roman" w:cs="Courier New"/>
          <w:sz w:val="24"/>
          <w:szCs w:val="24"/>
        </w:rPr>
        <w:t xml:space="preserve">ls har tagit upp är av litterär karaktär, dvs. det är inte många personliga brev mellan ”vanligt folk” som vi hittills har haft tillgång till. Det läget förbättrades avsevärt när det gäller egyptisk manikeism genom ett stort fynd i den trakt som </w:t>
      </w:r>
      <w:r w:rsidRPr="007B0ED8">
        <w:rPr>
          <w:rFonts w:ascii="Times New Roman" w:hAnsi="Times New Roman" w:cs="Courier New"/>
          <w:sz w:val="24"/>
          <w:szCs w:val="24"/>
        </w:rPr>
        <w:lastRenderedPageBreak/>
        <w:t xml:space="preserve">under romersk tid hette Kellis </w:t>
      </w:r>
      <w:r w:rsidR="001D45A1" w:rsidRPr="007B0ED8">
        <w:rPr>
          <w:rFonts w:ascii="Times New Roman" w:hAnsi="Times New Roman" w:cs="Courier New"/>
          <w:sz w:val="24"/>
          <w:szCs w:val="24"/>
        </w:rPr>
        <w:t xml:space="preserve">och som </w:t>
      </w:r>
      <w:proofErr w:type="gramStart"/>
      <w:r w:rsidR="001D45A1" w:rsidRPr="007B0ED8">
        <w:rPr>
          <w:rFonts w:ascii="Times New Roman" w:hAnsi="Times New Roman" w:cs="Courier New"/>
          <w:sz w:val="24"/>
          <w:szCs w:val="24"/>
        </w:rPr>
        <w:t>är</w:t>
      </w:r>
      <w:proofErr w:type="gramEnd"/>
      <w:r w:rsidR="001D45A1" w:rsidRPr="007B0ED8">
        <w:rPr>
          <w:rFonts w:ascii="Times New Roman" w:hAnsi="Times New Roman" w:cs="Courier New"/>
          <w:sz w:val="24"/>
          <w:szCs w:val="24"/>
        </w:rPr>
        <w:t xml:space="preserve"> </w:t>
      </w:r>
      <w:proofErr w:type="gramStart"/>
      <w:r w:rsidRPr="007B0ED8">
        <w:rPr>
          <w:rFonts w:ascii="Times New Roman" w:hAnsi="Times New Roman" w:cs="Courier New"/>
          <w:sz w:val="24"/>
          <w:szCs w:val="24"/>
        </w:rPr>
        <w:t>beläget</w:t>
      </w:r>
      <w:proofErr w:type="gramEnd"/>
      <w:r w:rsidRPr="007B0ED8">
        <w:rPr>
          <w:rFonts w:ascii="Times New Roman" w:hAnsi="Times New Roman" w:cs="Courier New"/>
          <w:sz w:val="24"/>
          <w:szCs w:val="24"/>
        </w:rPr>
        <w:t xml:space="preserve"> </w:t>
      </w:r>
      <w:proofErr w:type="gramStart"/>
      <w:r w:rsidRPr="007B0ED8">
        <w:rPr>
          <w:rFonts w:ascii="Times New Roman" w:hAnsi="Times New Roman" w:cs="Courier New"/>
          <w:sz w:val="24"/>
          <w:szCs w:val="24"/>
        </w:rPr>
        <w:t>i</w:t>
      </w:r>
      <w:proofErr w:type="gramEnd"/>
      <w:r w:rsidRPr="007B0ED8">
        <w:rPr>
          <w:rFonts w:ascii="Times New Roman" w:hAnsi="Times New Roman" w:cs="Courier New"/>
          <w:sz w:val="24"/>
          <w:szCs w:val="24"/>
        </w:rPr>
        <w:t xml:space="preserve"> en oas i västra Egypten som idag heter </w:t>
      </w:r>
      <w:proofErr w:type="spellStart"/>
      <w:r w:rsidRPr="007B0ED8">
        <w:rPr>
          <w:rFonts w:ascii="Times New Roman" w:hAnsi="Times New Roman" w:cs="Courier New"/>
          <w:sz w:val="24"/>
          <w:szCs w:val="24"/>
        </w:rPr>
        <w:t>Dakhleh</w:t>
      </w:r>
      <w:proofErr w:type="spellEnd"/>
      <w:r w:rsidRPr="007B0ED8">
        <w:rPr>
          <w:rFonts w:ascii="Times New Roman" w:hAnsi="Times New Roman" w:cs="Courier New"/>
          <w:sz w:val="24"/>
          <w:szCs w:val="24"/>
        </w:rPr>
        <w:t>. De arkeologiska utgrävn</w:t>
      </w:r>
      <w:r w:rsidR="001D45A1" w:rsidRPr="007B0ED8">
        <w:rPr>
          <w:rFonts w:ascii="Times New Roman" w:hAnsi="Times New Roman" w:cs="Courier New"/>
          <w:sz w:val="24"/>
          <w:szCs w:val="24"/>
        </w:rPr>
        <w:t>i</w:t>
      </w:r>
      <w:r w:rsidRPr="007B0ED8">
        <w:rPr>
          <w:rFonts w:ascii="Times New Roman" w:hAnsi="Times New Roman" w:cs="Courier New"/>
          <w:sz w:val="24"/>
          <w:szCs w:val="24"/>
        </w:rPr>
        <w:t>ngarna började 1986, pågick från december till februari med den senaste rapporten från 2007.</w:t>
      </w:r>
      <w:r w:rsidRPr="007B0ED8">
        <w:rPr>
          <w:rStyle w:val="Fotnotsreferens"/>
          <w:rFonts w:ascii="Times New Roman" w:hAnsi="Times New Roman" w:cs="Courier New"/>
          <w:sz w:val="24"/>
          <w:szCs w:val="24"/>
        </w:rPr>
        <w:footnoteReference w:id="9"/>
      </w:r>
      <w:r w:rsidR="00307358" w:rsidRPr="007B0ED8">
        <w:rPr>
          <w:rFonts w:ascii="Times New Roman" w:hAnsi="Times New Roman" w:cs="Courier New"/>
          <w:sz w:val="24"/>
          <w:szCs w:val="24"/>
        </w:rPr>
        <w:t xml:space="preserve"> I min diskussion kom</w:t>
      </w:r>
      <w:r w:rsidR="00310D40" w:rsidRPr="007B0ED8">
        <w:rPr>
          <w:rFonts w:ascii="Times New Roman" w:hAnsi="Times New Roman" w:cs="Courier New"/>
          <w:sz w:val="24"/>
          <w:szCs w:val="24"/>
        </w:rPr>
        <w:t>m</w:t>
      </w:r>
      <w:r w:rsidR="00307358" w:rsidRPr="007B0ED8">
        <w:rPr>
          <w:rFonts w:ascii="Times New Roman" w:hAnsi="Times New Roman" w:cs="Courier New"/>
          <w:sz w:val="24"/>
          <w:szCs w:val="24"/>
        </w:rPr>
        <w:t>er jag använda mig av de</w:t>
      </w:r>
      <w:r w:rsidR="008C4540" w:rsidRPr="007B0ED8">
        <w:rPr>
          <w:rFonts w:ascii="Times New Roman" w:hAnsi="Times New Roman" w:cs="Courier New"/>
          <w:sz w:val="24"/>
          <w:szCs w:val="24"/>
        </w:rPr>
        <w:t>t</w:t>
      </w:r>
      <w:r w:rsidR="00307358" w:rsidRPr="007B0ED8">
        <w:rPr>
          <w:rFonts w:ascii="Times New Roman" w:hAnsi="Times New Roman" w:cs="Courier New"/>
          <w:sz w:val="24"/>
          <w:szCs w:val="24"/>
        </w:rPr>
        <w:t>ta mycket nya material som inte ännu är helt publicerat. Där får vi en inblick i dagligt liv bland de manikéer som bodde i oasen under den sista hälften av 300-talet.</w:t>
      </w:r>
      <w:r w:rsidR="00896DB2" w:rsidRPr="007B0ED8">
        <w:rPr>
          <w:rStyle w:val="Fotnotsreferens"/>
          <w:rFonts w:ascii="Times New Roman" w:hAnsi="Times New Roman" w:cs="Courier New"/>
          <w:sz w:val="24"/>
          <w:szCs w:val="24"/>
        </w:rPr>
        <w:footnoteReference w:id="10"/>
      </w:r>
      <w:r w:rsidR="001D45A1" w:rsidRPr="007B0ED8">
        <w:rPr>
          <w:rFonts w:ascii="Times New Roman" w:hAnsi="Times New Roman" w:cs="Courier New"/>
          <w:sz w:val="24"/>
          <w:szCs w:val="24"/>
        </w:rPr>
        <w:t xml:space="preserve"> Men nu är det hög tid att vi stiftar bekantskap med Mani och det inom manikeismen som är av särskild vikt för studiet av hur man förhöll sig till mat.</w:t>
      </w:r>
    </w:p>
    <w:p w:rsidR="001D45A1" w:rsidRPr="007B0ED8" w:rsidRDefault="001D45A1" w:rsidP="00DE13BC">
      <w:pPr>
        <w:rPr>
          <w:rFonts w:ascii="Times New Roman" w:hAnsi="Times New Roman" w:cs="Courier New"/>
          <w:sz w:val="24"/>
        </w:rPr>
      </w:pPr>
    </w:p>
    <w:p w:rsidR="001D45A1" w:rsidRPr="007B0ED8" w:rsidRDefault="001D45A1" w:rsidP="001D45A1">
      <w:pPr>
        <w:pStyle w:val="Rubrik3"/>
        <w:rPr>
          <w:rFonts w:ascii="Times New Roman" w:hAnsi="Times New Roman"/>
          <w:sz w:val="24"/>
        </w:rPr>
      </w:pPr>
      <w:r w:rsidRPr="007B0ED8">
        <w:rPr>
          <w:rFonts w:ascii="Times New Roman" w:hAnsi="Times New Roman"/>
          <w:sz w:val="24"/>
        </w:rPr>
        <w:t>Mani</w:t>
      </w:r>
      <w:r w:rsidR="00410902" w:rsidRPr="007B0ED8">
        <w:rPr>
          <w:rFonts w:ascii="Times New Roman" w:hAnsi="Times New Roman"/>
          <w:sz w:val="24"/>
        </w:rPr>
        <w:t xml:space="preserve"> och manikéerna</w:t>
      </w:r>
    </w:p>
    <w:p w:rsidR="00863A50" w:rsidRPr="007B0ED8" w:rsidRDefault="00C377F7" w:rsidP="00DE13BC">
      <w:pPr>
        <w:rPr>
          <w:rFonts w:ascii="Times New Roman" w:hAnsi="Times New Roman" w:cs="Courier New"/>
          <w:sz w:val="24"/>
          <w:szCs w:val="24"/>
        </w:rPr>
      </w:pPr>
      <w:r w:rsidRPr="007B0ED8">
        <w:rPr>
          <w:rFonts w:ascii="Times New Roman" w:hAnsi="Times New Roman" w:cs="Courier New"/>
          <w:sz w:val="24"/>
          <w:szCs w:val="24"/>
        </w:rPr>
        <w:t>Troligtvis var det den 14:</w:t>
      </w:r>
      <w:r w:rsidR="00D043C0" w:rsidRPr="007B0ED8">
        <w:rPr>
          <w:rFonts w:ascii="Times New Roman" w:hAnsi="Times New Roman" w:cs="Courier New"/>
          <w:sz w:val="24"/>
          <w:szCs w:val="24"/>
        </w:rPr>
        <w:t xml:space="preserve">e april 216 </w:t>
      </w:r>
      <w:proofErr w:type="spellStart"/>
      <w:r w:rsidR="00D043C0" w:rsidRPr="007B0ED8">
        <w:rPr>
          <w:rFonts w:ascii="Times New Roman" w:hAnsi="Times New Roman" w:cs="Courier New"/>
          <w:sz w:val="24"/>
          <w:szCs w:val="24"/>
        </w:rPr>
        <w:t>vt.</w:t>
      </w:r>
      <w:proofErr w:type="spellEnd"/>
      <w:r w:rsidR="00D043C0" w:rsidRPr="007B0ED8">
        <w:rPr>
          <w:rFonts w:ascii="Times New Roman" w:hAnsi="Times New Roman" w:cs="Courier New"/>
          <w:sz w:val="24"/>
          <w:szCs w:val="24"/>
        </w:rPr>
        <w:t xml:space="preserve"> som Mani föddes i närheten av </w:t>
      </w:r>
      <w:proofErr w:type="spellStart"/>
      <w:r w:rsidR="00D043C0" w:rsidRPr="007B0ED8">
        <w:rPr>
          <w:rFonts w:ascii="Times New Roman" w:hAnsi="Times New Roman" w:cs="Courier New"/>
          <w:sz w:val="24"/>
          <w:szCs w:val="24"/>
        </w:rPr>
        <w:t>Ctesephon</w:t>
      </w:r>
      <w:proofErr w:type="spellEnd"/>
      <w:r w:rsidR="001B4FC3" w:rsidRPr="007B0ED8">
        <w:rPr>
          <w:rFonts w:ascii="Times New Roman" w:hAnsi="Times New Roman" w:cs="Courier New"/>
          <w:sz w:val="24"/>
          <w:szCs w:val="24"/>
        </w:rPr>
        <w:t xml:space="preserve"> </w:t>
      </w:r>
      <w:r w:rsidR="00097102" w:rsidRPr="007B0ED8">
        <w:rPr>
          <w:rFonts w:ascii="Times New Roman" w:hAnsi="Times New Roman" w:cs="Courier New"/>
          <w:sz w:val="24"/>
          <w:szCs w:val="24"/>
        </w:rPr>
        <w:t xml:space="preserve">som var </w:t>
      </w:r>
      <w:r w:rsidR="001B4FC3" w:rsidRPr="007B0ED8">
        <w:rPr>
          <w:rFonts w:ascii="Times New Roman" w:hAnsi="Times New Roman" w:cs="Courier New"/>
          <w:sz w:val="24"/>
          <w:szCs w:val="24"/>
        </w:rPr>
        <w:t xml:space="preserve">den </w:t>
      </w:r>
      <w:proofErr w:type="spellStart"/>
      <w:r w:rsidR="001B4FC3" w:rsidRPr="007B0ED8">
        <w:rPr>
          <w:rFonts w:ascii="Times New Roman" w:hAnsi="Times New Roman" w:cs="Courier New"/>
          <w:sz w:val="24"/>
          <w:szCs w:val="24"/>
        </w:rPr>
        <w:t>sasanidiska</w:t>
      </w:r>
      <w:proofErr w:type="spellEnd"/>
      <w:r w:rsidR="001B4FC3" w:rsidRPr="007B0ED8">
        <w:rPr>
          <w:rFonts w:ascii="Times New Roman" w:hAnsi="Times New Roman" w:cs="Courier New"/>
          <w:sz w:val="24"/>
          <w:szCs w:val="24"/>
        </w:rPr>
        <w:t xml:space="preserve"> huvudstaden. Under Manis livstid växte den till ett stadskomplex på Tigris båda stränder och omnämns då som </w:t>
      </w:r>
      <w:bookmarkStart w:id="1" w:name="OLE_LINK3"/>
      <w:bookmarkStart w:id="2" w:name="OLE_LINK4"/>
      <w:proofErr w:type="spellStart"/>
      <w:r w:rsidR="001B4FC3" w:rsidRPr="007B0ED8">
        <w:rPr>
          <w:rFonts w:ascii="Times New Roman" w:hAnsi="Times New Roman" w:cs="Courier New"/>
          <w:sz w:val="24"/>
          <w:szCs w:val="24"/>
        </w:rPr>
        <w:t>Seleucia-Ctesiphon</w:t>
      </w:r>
      <w:bookmarkEnd w:id="1"/>
      <w:bookmarkEnd w:id="2"/>
      <w:proofErr w:type="spellEnd"/>
      <w:r w:rsidR="001B4FC3" w:rsidRPr="007B0ED8">
        <w:rPr>
          <w:rFonts w:ascii="Times New Roman" w:hAnsi="Times New Roman" w:cs="Courier New"/>
          <w:sz w:val="24"/>
          <w:szCs w:val="24"/>
        </w:rPr>
        <w:t>.</w:t>
      </w:r>
      <w:r w:rsidR="00D510F1" w:rsidRPr="007B0ED8">
        <w:rPr>
          <w:rFonts w:ascii="Times New Roman" w:hAnsi="Times New Roman" w:cs="Courier New"/>
          <w:sz w:val="24"/>
          <w:szCs w:val="24"/>
        </w:rPr>
        <w:t xml:space="preserve"> Mesopotamien ingick alltså i det persiska imperiet som var en stark rival till det romerska riket. Trakten </w:t>
      </w:r>
      <w:r w:rsidR="00B34CAA" w:rsidRPr="007B0ED8">
        <w:rPr>
          <w:rFonts w:ascii="Times New Roman" w:hAnsi="Times New Roman" w:cs="Courier New"/>
          <w:sz w:val="24"/>
          <w:szCs w:val="24"/>
        </w:rPr>
        <w:t xml:space="preserve">hade en mångtusenårig rik intellektuell och kulturell historia och </w:t>
      </w:r>
      <w:r w:rsidR="00D510F1" w:rsidRPr="007B0ED8">
        <w:rPr>
          <w:rFonts w:ascii="Times New Roman" w:hAnsi="Times New Roman" w:cs="Courier New"/>
          <w:sz w:val="24"/>
          <w:szCs w:val="24"/>
        </w:rPr>
        <w:t>präglades av religiös mångfald.</w:t>
      </w:r>
      <w:r w:rsidR="00B34CAA" w:rsidRPr="007B0ED8">
        <w:rPr>
          <w:rStyle w:val="Fotnotsreferens"/>
          <w:rFonts w:ascii="Times New Roman" w:hAnsi="Times New Roman" w:cs="Courier New"/>
          <w:sz w:val="24"/>
          <w:szCs w:val="24"/>
        </w:rPr>
        <w:footnoteReference w:id="11"/>
      </w:r>
      <w:r w:rsidR="00D510F1" w:rsidRPr="007B0ED8">
        <w:rPr>
          <w:rFonts w:ascii="Times New Roman" w:hAnsi="Times New Roman" w:cs="Courier New"/>
          <w:sz w:val="24"/>
          <w:szCs w:val="24"/>
        </w:rPr>
        <w:t xml:space="preserve"> Vid sidan av </w:t>
      </w:r>
      <w:proofErr w:type="spellStart"/>
      <w:r w:rsidR="00D510F1" w:rsidRPr="007B0ED8">
        <w:rPr>
          <w:rFonts w:ascii="Times New Roman" w:hAnsi="Times New Roman" w:cs="Courier New"/>
          <w:sz w:val="24"/>
          <w:szCs w:val="24"/>
        </w:rPr>
        <w:t>zoroastrism</w:t>
      </w:r>
      <w:proofErr w:type="spellEnd"/>
      <w:r w:rsidR="00D510F1" w:rsidRPr="007B0ED8">
        <w:rPr>
          <w:rFonts w:ascii="Times New Roman" w:hAnsi="Times New Roman" w:cs="Courier New"/>
          <w:sz w:val="24"/>
          <w:szCs w:val="24"/>
        </w:rPr>
        <w:t xml:space="preserve"> fans även </w:t>
      </w:r>
      <w:r w:rsidR="004158F2" w:rsidRPr="007B0ED8">
        <w:rPr>
          <w:rFonts w:ascii="Times New Roman" w:hAnsi="Times New Roman" w:cs="Courier New"/>
          <w:sz w:val="24"/>
          <w:szCs w:val="24"/>
        </w:rPr>
        <w:t xml:space="preserve">exempelvis </w:t>
      </w:r>
      <w:r w:rsidR="00D510F1" w:rsidRPr="007B0ED8">
        <w:rPr>
          <w:rFonts w:ascii="Times New Roman" w:hAnsi="Times New Roman" w:cs="Courier New"/>
          <w:sz w:val="24"/>
          <w:szCs w:val="24"/>
        </w:rPr>
        <w:t xml:space="preserve">många olika varianter av judendom och kristendom </w:t>
      </w:r>
      <w:r w:rsidR="004158F2" w:rsidRPr="007B0ED8">
        <w:rPr>
          <w:rFonts w:ascii="Times New Roman" w:hAnsi="Times New Roman" w:cs="Courier New"/>
          <w:sz w:val="24"/>
          <w:szCs w:val="24"/>
        </w:rPr>
        <w:t xml:space="preserve">samt </w:t>
      </w:r>
      <w:r w:rsidR="00D510F1" w:rsidRPr="007B0ED8">
        <w:rPr>
          <w:rFonts w:ascii="Times New Roman" w:hAnsi="Times New Roman" w:cs="Courier New"/>
          <w:sz w:val="24"/>
          <w:szCs w:val="24"/>
        </w:rPr>
        <w:t>mandeism.</w:t>
      </w:r>
      <w:r w:rsidR="0086220D" w:rsidRPr="007B0ED8">
        <w:rPr>
          <w:rFonts w:ascii="Times New Roman" w:hAnsi="Times New Roman" w:cs="Courier New"/>
          <w:sz w:val="24"/>
          <w:szCs w:val="24"/>
        </w:rPr>
        <w:t xml:space="preserve"> Omkring år 100 </w:t>
      </w:r>
      <w:proofErr w:type="spellStart"/>
      <w:r w:rsidR="0086220D" w:rsidRPr="007B0ED8">
        <w:rPr>
          <w:rFonts w:ascii="Times New Roman" w:hAnsi="Times New Roman" w:cs="Courier New"/>
          <w:sz w:val="24"/>
          <w:szCs w:val="24"/>
        </w:rPr>
        <w:t>vt.</w:t>
      </w:r>
      <w:proofErr w:type="spellEnd"/>
      <w:r w:rsidR="0086220D" w:rsidRPr="007B0ED8">
        <w:rPr>
          <w:rFonts w:ascii="Times New Roman" w:hAnsi="Times New Roman" w:cs="Courier New"/>
          <w:sz w:val="24"/>
          <w:szCs w:val="24"/>
        </w:rPr>
        <w:t xml:space="preserve"> lär den legendariske </w:t>
      </w:r>
      <w:proofErr w:type="spellStart"/>
      <w:r w:rsidR="0086220D" w:rsidRPr="007B0ED8">
        <w:rPr>
          <w:rFonts w:ascii="Times New Roman" w:hAnsi="Times New Roman" w:cs="Courier New"/>
          <w:sz w:val="24"/>
          <w:szCs w:val="24"/>
        </w:rPr>
        <w:t>Elkasai</w:t>
      </w:r>
      <w:proofErr w:type="spellEnd"/>
      <w:r w:rsidR="00126A72" w:rsidRPr="007B0ED8">
        <w:rPr>
          <w:rFonts w:ascii="Times New Roman" w:hAnsi="Times New Roman" w:cs="Courier New"/>
          <w:sz w:val="24"/>
          <w:szCs w:val="24"/>
        </w:rPr>
        <w:t xml:space="preserve"> ha grundat en judekristen grupp där reningsceremonier stod i fokus.</w:t>
      </w:r>
      <w:r w:rsidR="00126A72" w:rsidRPr="007B0ED8">
        <w:rPr>
          <w:rStyle w:val="Fotnotsreferens"/>
          <w:rFonts w:ascii="Times New Roman" w:hAnsi="Times New Roman" w:cs="Courier New"/>
          <w:sz w:val="24"/>
          <w:szCs w:val="24"/>
        </w:rPr>
        <w:footnoteReference w:id="12"/>
      </w:r>
      <w:r w:rsidR="00E27A5E" w:rsidRPr="007B0ED8">
        <w:rPr>
          <w:rFonts w:ascii="Times New Roman" w:hAnsi="Times New Roman" w:cs="Courier New"/>
          <w:sz w:val="24"/>
          <w:szCs w:val="24"/>
        </w:rPr>
        <w:t xml:space="preserve"> Manis far var medlem i den gruppen och </w:t>
      </w:r>
      <w:r w:rsidR="00C602E9" w:rsidRPr="007B0ED8">
        <w:rPr>
          <w:rFonts w:ascii="Times New Roman" w:hAnsi="Times New Roman" w:cs="Courier New"/>
          <w:sz w:val="24"/>
          <w:szCs w:val="24"/>
        </w:rPr>
        <w:t xml:space="preserve">det </w:t>
      </w:r>
      <w:r w:rsidR="00E27A5E" w:rsidRPr="007B0ED8">
        <w:rPr>
          <w:rFonts w:ascii="Times New Roman" w:hAnsi="Times New Roman" w:cs="Courier New"/>
          <w:sz w:val="24"/>
          <w:szCs w:val="24"/>
        </w:rPr>
        <w:t xml:space="preserve">blev även Mani. Vid tolv års ålder </w:t>
      </w:r>
      <w:r w:rsidR="007A44CC" w:rsidRPr="007B0ED8">
        <w:rPr>
          <w:rFonts w:ascii="Times New Roman" w:hAnsi="Times New Roman" w:cs="Courier New"/>
          <w:sz w:val="24"/>
          <w:szCs w:val="24"/>
        </w:rPr>
        <w:t xml:space="preserve">började </w:t>
      </w:r>
      <w:r w:rsidR="00E64B0B" w:rsidRPr="007B0ED8">
        <w:rPr>
          <w:rFonts w:ascii="Times New Roman" w:hAnsi="Times New Roman" w:cs="Courier New"/>
          <w:sz w:val="24"/>
          <w:szCs w:val="24"/>
        </w:rPr>
        <w:t xml:space="preserve">Mani </w:t>
      </w:r>
      <w:r w:rsidR="007A44CC" w:rsidRPr="007B0ED8">
        <w:rPr>
          <w:rFonts w:ascii="Times New Roman" w:hAnsi="Times New Roman" w:cs="Courier New"/>
          <w:sz w:val="24"/>
          <w:szCs w:val="24"/>
        </w:rPr>
        <w:t xml:space="preserve">få </w:t>
      </w:r>
      <w:r w:rsidR="00E64B0B" w:rsidRPr="007B0ED8">
        <w:rPr>
          <w:rFonts w:ascii="Times New Roman" w:hAnsi="Times New Roman" w:cs="Courier New"/>
          <w:sz w:val="24"/>
          <w:szCs w:val="24"/>
        </w:rPr>
        <w:t>uppenbarelse</w:t>
      </w:r>
      <w:r w:rsidR="007A44CC" w:rsidRPr="007B0ED8">
        <w:rPr>
          <w:rFonts w:ascii="Times New Roman" w:hAnsi="Times New Roman" w:cs="Courier New"/>
          <w:sz w:val="24"/>
          <w:szCs w:val="24"/>
        </w:rPr>
        <w:t>r, vilket ledde till a</w:t>
      </w:r>
      <w:r w:rsidR="00A1429B" w:rsidRPr="007B0ED8">
        <w:rPr>
          <w:rFonts w:ascii="Times New Roman" w:hAnsi="Times New Roman" w:cs="Courier New"/>
          <w:sz w:val="24"/>
          <w:szCs w:val="24"/>
        </w:rPr>
        <w:t>t</w:t>
      </w:r>
      <w:r w:rsidR="007A44CC" w:rsidRPr="007B0ED8">
        <w:rPr>
          <w:rFonts w:ascii="Times New Roman" w:hAnsi="Times New Roman" w:cs="Courier New"/>
          <w:sz w:val="24"/>
          <w:szCs w:val="24"/>
        </w:rPr>
        <w:t xml:space="preserve">t han mer och mer kom att kritisera </w:t>
      </w:r>
      <w:proofErr w:type="spellStart"/>
      <w:r w:rsidR="007A44CC" w:rsidRPr="007B0ED8">
        <w:rPr>
          <w:rFonts w:ascii="Times New Roman" w:hAnsi="Times New Roman" w:cs="Courier New"/>
          <w:sz w:val="24"/>
          <w:szCs w:val="24"/>
        </w:rPr>
        <w:t>alkesiterna</w:t>
      </w:r>
      <w:proofErr w:type="spellEnd"/>
      <w:r w:rsidR="007A44CC" w:rsidRPr="007B0ED8">
        <w:rPr>
          <w:rFonts w:ascii="Times New Roman" w:hAnsi="Times New Roman" w:cs="Courier New"/>
          <w:sz w:val="24"/>
          <w:szCs w:val="24"/>
        </w:rPr>
        <w:t>. D</w:t>
      </w:r>
      <w:r w:rsidR="00E64B0B" w:rsidRPr="007B0ED8">
        <w:rPr>
          <w:rFonts w:ascii="Times New Roman" w:hAnsi="Times New Roman" w:cs="Courier New"/>
          <w:sz w:val="24"/>
          <w:szCs w:val="24"/>
        </w:rPr>
        <w:t xml:space="preserve">et </w:t>
      </w:r>
      <w:r w:rsidR="00A1429B" w:rsidRPr="007B0ED8">
        <w:rPr>
          <w:rFonts w:ascii="Times New Roman" w:hAnsi="Times New Roman" w:cs="Courier New"/>
          <w:sz w:val="24"/>
          <w:szCs w:val="24"/>
        </w:rPr>
        <w:t xml:space="preserve">resulterade i </w:t>
      </w:r>
      <w:r w:rsidR="00E64B0B" w:rsidRPr="007B0ED8">
        <w:rPr>
          <w:rFonts w:ascii="Times New Roman" w:hAnsi="Times New Roman" w:cs="Courier New"/>
          <w:sz w:val="24"/>
          <w:szCs w:val="24"/>
        </w:rPr>
        <w:t xml:space="preserve">ett brott med dem när Mani var 24 år. Endast hans far och ytterligare två </w:t>
      </w:r>
      <w:proofErr w:type="spellStart"/>
      <w:r w:rsidR="00E64B0B" w:rsidRPr="007B0ED8">
        <w:rPr>
          <w:rFonts w:ascii="Times New Roman" w:hAnsi="Times New Roman" w:cs="Courier New"/>
          <w:sz w:val="24"/>
          <w:szCs w:val="24"/>
        </w:rPr>
        <w:t>alkesiter</w:t>
      </w:r>
      <w:proofErr w:type="spellEnd"/>
      <w:r w:rsidR="00E64B0B" w:rsidRPr="007B0ED8">
        <w:rPr>
          <w:rFonts w:ascii="Times New Roman" w:hAnsi="Times New Roman" w:cs="Courier New"/>
          <w:sz w:val="24"/>
          <w:szCs w:val="24"/>
        </w:rPr>
        <w:t xml:space="preserve"> följde Mani. </w:t>
      </w:r>
      <w:r w:rsidR="00410902" w:rsidRPr="007B0ED8">
        <w:rPr>
          <w:rFonts w:ascii="Times New Roman" w:hAnsi="Times New Roman" w:cs="Courier New"/>
          <w:sz w:val="24"/>
          <w:szCs w:val="24"/>
        </w:rPr>
        <w:t xml:space="preserve">Mani </w:t>
      </w:r>
      <w:r w:rsidR="005572F7" w:rsidRPr="007B0ED8">
        <w:rPr>
          <w:rFonts w:ascii="Times New Roman" w:hAnsi="Times New Roman" w:cs="Courier New"/>
          <w:sz w:val="24"/>
          <w:szCs w:val="24"/>
        </w:rPr>
        <w:t xml:space="preserve">begav sig först </w:t>
      </w:r>
      <w:r w:rsidR="00410902" w:rsidRPr="007B0ED8">
        <w:rPr>
          <w:rFonts w:ascii="Times New Roman" w:hAnsi="Times New Roman" w:cs="Courier New"/>
          <w:sz w:val="24"/>
          <w:szCs w:val="24"/>
        </w:rPr>
        <w:t xml:space="preserve">till huvudstaden </w:t>
      </w:r>
      <w:proofErr w:type="spellStart"/>
      <w:r w:rsidR="00410902" w:rsidRPr="007B0ED8">
        <w:rPr>
          <w:rFonts w:ascii="Times New Roman" w:hAnsi="Times New Roman" w:cs="Courier New"/>
          <w:sz w:val="24"/>
          <w:szCs w:val="24"/>
        </w:rPr>
        <w:t>Seleucia-Ctesiphon</w:t>
      </w:r>
      <w:proofErr w:type="spellEnd"/>
      <w:r w:rsidR="00410902" w:rsidRPr="007B0ED8">
        <w:rPr>
          <w:rFonts w:ascii="Times New Roman" w:hAnsi="Times New Roman" w:cs="Courier New"/>
          <w:sz w:val="24"/>
          <w:szCs w:val="24"/>
        </w:rPr>
        <w:t xml:space="preserve"> </w:t>
      </w:r>
      <w:r w:rsidR="00FD5444" w:rsidRPr="007B0ED8">
        <w:rPr>
          <w:rFonts w:ascii="Times New Roman" w:hAnsi="Times New Roman" w:cs="Courier New"/>
          <w:sz w:val="24"/>
          <w:szCs w:val="24"/>
        </w:rPr>
        <w:t xml:space="preserve">och fortsatte sedan </w:t>
      </w:r>
      <w:r w:rsidR="005572F7" w:rsidRPr="007B0ED8">
        <w:rPr>
          <w:rFonts w:ascii="Times New Roman" w:hAnsi="Times New Roman" w:cs="Courier New"/>
          <w:sz w:val="24"/>
          <w:szCs w:val="24"/>
        </w:rPr>
        <w:t xml:space="preserve">till </w:t>
      </w:r>
      <w:proofErr w:type="spellStart"/>
      <w:r w:rsidR="005572F7" w:rsidRPr="007B0ED8">
        <w:rPr>
          <w:rFonts w:ascii="Times New Roman" w:hAnsi="Times New Roman" w:cs="Courier New"/>
          <w:sz w:val="24"/>
          <w:szCs w:val="24"/>
        </w:rPr>
        <w:t>Naser</w:t>
      </w:r>
      <w:proofErr w:type="spellEnd"/>
      <w:r w:rsidR="005572F7" w:rsidRPr="007B0ED8">
        <w:rPr>
          <w:rFonts w:ascii="Times New Roman" w:hAnsi="Times New Roman" w:cs="Courier New"/>
          <w:sz w:val="24"/>
          <w:szCs w:val="24"/>
        </w:rPr>
        <w:t xml:space="preserve"> för att med sina tre lärjungar </w:t>
      </w:r>
      <w:r w:rsidR="00FD5444" w:rsidRPr="007B0ED8">
        <w:rPr>
          <w:rFonts w:ascii="Times New Roman" w:hAnsi="Times New Roman" w:cs="Courier New"/>
          <w:sz w:val="24"/>
          <w:szCs w:val="24"/>
        </w:rPr>
        <w:t xml:space="preserve">grunda den första </w:t>
      </w:r>
      <w:r w:rsidR="00410902" w:rsidRPr="007B0ED8">
        <w:rPr>
          <w:rFonts w:ascii="Times New Roman" w:hAnsi="Times New Roman" w:cs="Courier New"/>
          <w:sz w:val="24"/>
          <w:szCs w:val="24"/>
        </w:rPr>
        <w:t>församling</w:t>
      </w:r>
      <w:r w:rsidR="00FD5444" w:rsidRPr="007B0ED8">
        <w:rPr>
          <w:rFonts w:ascii="Times New Roman" w:hAnsi="Times New Roman" w:cs="Courier New"/>
          <w:sz w:val="24"/>
          <w:szCs w:val="24"/>
        </w:rPr>
        <w:t>en</w:t>
      </w:r>
      <w:r w:rsidR="00863A50" w:rsidRPr="007B0ED8">
        <w:rPr>
          <w:rFonts w:ascii="Times New Roman" w:hAnsi="Times New Roman" w:cs="Courier New"/>
          <w:sz w:val="24"/>
          <w:szCs w:val="24"/>
        </w:rPr>
        <w:t>.</w:t>
      </w:r>
    </w:p>
    <w:p w:rsidR="00464E0B" w:rsidRPr="007B0ED8" w:rsidRDefault="00464E0B" w:rsidP="00DE13BC">
      <w:pPr>
        <w:rPr>
          <w:rFonts w:ascii="Times New Roman" w:hAnsi="Times New Roman" w:cs="Courier New"/>
          <w:sz w:val="24"/>
          <w:szCs w:val="24"/>
        </w:rPr>
      </w:pPr>
    </w:p>
    <w:p w:rsidR="00CC273E" w:rsidRPr="007B0ED8" w:rsidRDefault="00FD5444" w:rsidP="002B6AF8">
      <w:pPr>
        <w:rPr>
          <w:rFonts w:ascii="Times New Roman" w:hAnsi="Times New Roman" w:cs="Courier New"/>
          <w:sz w:val="24"/>
          <w:szCs w:val="24"/>
        </w:rPr>
      </w:pPr>
      <w:r w:rsidRPr="007B0ED8">
        <w:rPr>
          <w:rFonts w:ascii="Times New Roman" w:hAnsi="Times New Roman" w:cs="Courier New"/>
          <w:sz w:val="24"/>
          <w:szCs w:val="24"/>
        </w:rPr>
        <w:t>Nu vidtog e</w:t>
      </w:r>
      <w:r w:rsidR="00AA4C31" w:rsidRPr="007B0ED8">
        <w:rPr>
          <w:rFonts w:ascii="Times New Roman" w:hAnsi="Times New Roman" w:cs="Courier New"/>
          <w:sz w:val="24"/>
          <w:szCs w:val="24"/>
        </w:rPr>
        <w:t xml:space="preserve">tt intensivt missionsarbete såväl i det </w:t>
      </w:r>
      <w:proofErr w:type="spellStart"/>
      <w:r w:rsidR="00AA4C31" w:rsidRPr="007B0ED8">
        <w:rPr>
          <w:rFonts w:ascii="Times New Roman" w:hAnsi="Times New Roman" w:cs="Courier New"/>
          <w:sz w:val="24"/>
          <w:szCs w:val="24"/>
        </w:rPr>
        <w:t>sasanidiska</w:t>
      </w:r>
      <w:proofErr w:type="spellEnd"/>
      <w:r w:rsidR="00AA4C31" w:rsidRPr="007B0ED8">
        <w:rPr>
          <w:rFonts w:ascii="Times New Roman" w:hAnsi="Times New Roman" w:cs="Courier New"/>
          <w:sz w:val="24"/>
          <w:szCs w:val="24"/>
        </w:rPr>
        <w:t xml:space="preserve"> </w:t>
      </w:r>
      <w:r w:rsidR="00172522" w:rsidRPr="007B0ED8">
        <w:rPr>
          <w:rFonts w:ascii="Times New Roman" w:hAnsi="Times New Roman" w:cs="Courier New"/>
          <w:sz w:val="24"/>
          <w:szCs w:val="24"/>
        </w:rPr>
        <w:t xml:space="preserve">som i det </w:t>
      </w:r>
      <w:r w:rsidR="00AA4C31" w:rsidRPr="007B0ED8">
        <w:rPr>
          <w:rFonts w:ascii="Times New Roman" w:hAnsi="Times New Roman" w:cs="Courier New"/>
          <w:sz w:val="24"/>
          <w:szCs w:val="24"/>
        </w:rPr>
        <w:t xml:space="preserve">romerska imperiet. </w:t>
      </w:r>
      <w:r w:rsidR="00DD4AC6" w:rsidRPr="007B0ED8">
        <w:rPr>
          <w:rFonts w:ascii="Times New Roman" w:hAnsi="Times New Roman" w:cs="Courier New"/>
          <w:sz w:val="24"/>
          <w:szCs w:val="24"/>
        </w:rPr>
        <w:t>Mani lade stor vikt vid att skriva och ville därmed undvika att begå det misstag som exempelvis Jesus och Buddha begått enligt Mani. Han önskade att hans lära skulle präglas av det han själv lärt ut</w:t>
      </w:r>
      <w:r w:rsidR="00172522" w:rsidRPr="007B0ED8">
        <w:rPr>
          <w:rFonts w:ascii="Times New Roman" w:hAnsi="Times New Roman" w:cs="Courier New"/>
          <w:sz w:val="24"/>
          <w:szCs w:val="24"/>
        </w:rPr>
        <w:t xml:space="preserve"> och då var det egna textförfattandet centralt</w:t>
      </w:r>
      <w:r w:rsidR="00DD4AC6" w:rsidRPr="007B0ED8">
        <w:rPr>
          <w:rFonts w:ascii="Times New Roman" w:hAnsi="Times New Roman" w:cs="Courier New"/>
          <w:sz w:val="24"/>
          <w:szCs w:val="24"/>
        </w:rPr>
        <w:t xml:space="preserve">. Men </w:t>
      </w:r>
      <w:proofErr w:type="gramStart"/>
      <w:r w:rsidR="00DD4AC6" w:rsidRPr="007B0ED8">
        <w:rPr>
          <w:rFonts w:ascii="Times New Roman" w:hAnsi="Times New Roman" w:cs="Courier New"/>
          <w:sz w:val="24"/>
          <w:szCs w:val="24"/>
        </w:rPr>
        <w:t>därutav</w:t>
      </w:r>
      <w:proofErr w:type="gramEnd"/>
      <w:r w:rsidR="00DD4AC6" w:rsidRPr="007B0ED8">
        <w:rPr>
          <w:rFonts w:ascii="Times New Roman" w:hAnsi="Times New Roman" w:cs="Courier New"/>
          <w:sz w:val="24"/>
          <w:szCs w:val="24"/>
        </w:rPr>
        <w:t xml:space="preserve"> bör vi inte dra slutsatsen att Manis texter var förmedlandet av en tidigt systematiserad och oföränderlig lära. </w:t>
      </w:r>
      <w:r w:rsidR="00172522" w:rsidRPr="007B0ED8">
        <w:rPr>
          <w:rFonts w:ascii="Times New Roman" w:hAnsi="Times New Roman" w:cs="Courier New"/>
          <w:sz w:val="24"/>
          <w:szCs w:val="24"/>
        </w:rPr>
        <w:t>N</w:t>
      </w:r>
      <w:r w:rsidR="00AA4C31" w:rsidRPr="007B0ED8">
        <w:rPr>
          <w:rFonts w:ascii="Times New Roman" w:hAnsi="Times New Roman" w:cs="Courier New"/>
          <w:sz w:val="24"/>
          <w:szCs w:val="24"/>
        </w:rPr>
        <w:t xml:space="preserve">umera tänker </w:t>
      </w:r>
      <w:r w:rsidR="007023EF" w:rsidRPr="007B0ED8">
        <w:rPr>
          <w:rFonts w:ascii="Times New Roman" w:hAnsi="Times New Roman" w:cs="Courier New"/>
          <w:sz w:val="24"/>
          <w:szCs w:val="24"/>
        </w:rPr>
        <w:t xml:space="preserve">man sig snarare att Mani skrev brev och andra texter som kunde användas i de olika diskussioner som hans missionärer deltog i. Därför präglas texterna </w:t>
      </w:r>
      <w:r w:rsidR="00DD4AC6" w:rsidRPr="007B0ED8">
        <w:rPr>
          <w:rFonts w:ascii="Times New Roman" w:hAnsi="Times New Roman" w:cs="Courier New"/>
          <w:sz w:val="24"/>
          <w:szCs w:val="24"/>
        </w:rPr>
        <w:t xml:space="preserve">i hög utsträckning </w:t>
      </w:r>
      <w:r w:rsidR="007023EF" w:rsidRPr="007B0ED8">
        <w:rPr>
          <w:rFonts w:ascii="Times New Roman" w:hAnsi="Times New Roman" w:cs="Courier New"/>
          <w:sz w:val="24"/>
          <w:szCs w:val="24"/>
        </w:rPr>
        <w:t xml:space="preserve">av det som var särskilt brännande i de aktuella kontexterna, snarare än av ett systematiskt </w:t>
      </w:r>
      <w:r w:rsidR="007023EF" w:rsidRPr="007B0ED8">
        <w:rPr>
          <w:rFonts w:ascii="Times New Roman" w:hAnsi="Times New Roman" w:cs="Courier New"/>
          <w:sz w:val="24"/>
          <w:szCs w:val="24"/>
        </w:rPr>
        <w:lastRenderedPageBreak/>
        <w:t xml:space="preserve">teologiskt arbete. Likaså ser man idag det redaktionella arbetet i exempelvis </w:t>
      </w:r>
      <w:proofErr w:type="spellStart"/>
      <w:r w:rsidR="007023EF" w:rsidRPr="007B0ED8">
        <w:rPr>
          <w:rFonts w:ascii="Times New Roman" w:hAnsi="Times New Roman" w:cs="Courier New"/>
          <w:i/>
          <w:sz w:val="24"/>
          <w:szCs w:val="24"/>
        </w:rPr>
        <w:t>Kephalaia</w:t>
      </w:r>
      <w:proofErr w:type="spellEnd"/>
      <w:r w:rsidR="007023EF" w:rsidRPr="007B0ED8">
        <w:rPr>
          <w:rFonts w:ascii="Times New Roman" w:hAnsi="Times New Roman" w:cs="Courier New"/>
          <w:sz w:val="24"/>
          <w:szCs w:val="24"/>
        </w:rPr>
        <w:t xml:space="preserve"> och hur det präglats av den miljö där det utförts.</w:t>
      </w:r>
      <w:r w:rsidR="007023EF" w:rsidRPr="007B0ED8">
        <w:rPr>
          <w:rStyle w:val="Fotnotsreferens"/>
          <w:rFonts w:ascii="Times New Roman" w:hAnsi="Times New Roman" w:cs="Courier New"/>
          <w:sz w:val="24"/>
          <w:szCs w:val="24"/>
        </w:rPr>
        <w:footnoteReference w:id="13"/>
      </w:r>
      <w:r w:rsidR="007023EF" w:rsidRPr="007B0ED8">
        <w:rPr>
          <w:rFonts w:ascii="Times New Roman" w:hAnsi="Times New Roman" w:cs="Courier New"/>
          <w:sz w:val="24"/>
          <w:szCs w:val="24"/>
        </w:rPr>
        <w:t xml:space="preserve"> </w:t>
      </w:r>
    </w:p>
    <w:p w:rsidR="00097102" w:rsidRPr="007B0ED8" w:rsidRDefault="00097102" w:rsidP="00DE13BC">
      <w:pPr>
        <w:rPr>
          <w:rFonts w:ascii="Times New Roman" w:hAnsi="Times New Roman" w:cs="Courier New"/>
          <w:sz w:val="24"/>
          <w:szCs w:val="24"/>
        </w:rPr>
      </w:pPr>
    </w:p>
    <w:p w:rsidR="003A2F5C" w:rsidRPr="007B0ED8" w:rsidRDefault="005572F7" w:rsidP="00DE13BC">
      <w:pPr>
        <w:rPr>
          <w:rFonts w:ascii="Times New Roman" w:hAnsi="Times New Roman" w:cs="Courier New"/>
          <w:sz w:val="24"/>
          <w:szCs w:val="24"/>
        </w:rPr>
      </w:pPr>
      <w:r w:rsidRPr="007B0ED8">
        <w:rPr>
          <w:rFonts w:ascii="Times New Roman" w:hAnsi="Times New Roman" w:cs="Courier New"/>
          <w:sz w:val="24"/>
          <w:szCs w:val="24"/>
        </w:rPr>
        <w:t xml:space="preserve">Mani ville gärna vinna den </w:t>
      </w:r>
      <w:proofErr w:type="spellStart"/>
      <w:r w:rsidRPr="007B0ED8">
        <w:rPr>
          <w:rFonts w:ascii="Times New Roman" w:hAnsi="Times New Roman" w:cs="Courier New"/>
          <w:sz w:val="24"/>
          <w:szCs w:val="24"/>
        </w:rPr>
        <w:t>sasanidiske</w:t>
      </w:r>
      <w:proofErr w:type="spellEnd"/>
      <w:r w:rsidRPr="007B0ED8">
        <w:rPr>
          <w:rFonts w:ascii="Times New Roman" w:hAnsi="Times New Roman" w:cs="Courier New"/>
          <w:sz w:val="24"/>
          <w:szCs w:val="24"/>
        </w:rPr>
        <w:t xml:space="preserve"> kungen</w:t>
      </w:r>
      <w:r w:rsidR="00172522" w:rsidRPr="007B0ED8">
        <w:rPr>
          <w:rFonts w:ascii="Times New Roman" w:hAnsi="Times New Roman" w:cs="Courier New"/>
          <w:sz w:val="24"/>
          <w:szCs w:val="24"/>
        </w:rPr>
        <w:t>s bevågenhet,</w:t>
      </w:r>
      <w:r w:rsidRPr="007B0ED8">
        <w:rPr>
          <w:rFonts w:ascii="Times New Roman" w:hAnsi="Times New Roman" w:cs="Courier New"/>
          <w:sz w:val="24"/>
          <w:szCs w:val="24"/>
        </w:rPr>
        <w:t xml:space="preserve"> men då det</w:t>
      </w:r>
      <w:r w:rsidR="00172522" w:rsidRPr="007B0ED8">
        <w:rPr>
          <w:rFonts w:ascii="Times New Roman" w:hAnsi="Times New Roman" w:cs="Courier New"/>
          <w:sz w:val="24"/>
          <w:szCs w:val="24"/>
        </w:rPr>
        <w:t>ta</w:t>
      </w:r>
      <w:r w:rsidRPr="007B0ED8">
        <w:rPr>
          <w:rFonts w:ascii="Times New Roman" w:hAnsi="Times New Roman" w:cs="Courier New"/>
          <w:sz w:val="24"/>
          <w:szCs w:val="24"/>
        </w:rPr>
        <w:t xml:space="preserve"> misslyckades reste han å</w:t>
      </w:r>
      <w:r w:rsidR="00F61440" w:rsidRPr="007B0ED8">
        <w:rPr>
          <w:rFonts w:ascii="Times New Roman" w:hAnsi="Times New Roman" w:cs="Courier New"/>
          <w:sz w:val="24"/>
          <w:szCs w:val="24"/>
        </w:rPr>
        <w:t xml:space="preserve">r 241 till Indien </w:t>
      </w:r>
      <w:r w:rsidR="00783A05" w:rsidRPr="007B0ED8">
        <w:rPr>
          <w:rFonts w:ascii="Times New Roman" w:hAnsi="Times New Roman" w:cs="Courier New"/>
          <w:sz w:val="24"/>
          <w:szCs w:val="24"/>
        </w:rPr>
        <w:t xml:space="preserve">och i </w:t>
      </w:r>
      <w:proofErr w:type="spellStart"/>
      <w:r w:rsidR="00783A05" w:rsidRPr="007B0ED8">
        <w:rPr>
          <w:rFonts w:ascii="Times New Roman" w:hAnsi="Times New Roman" w:cs="Courier New"/>
          <w:sz w:val="24"/>
          <w:szCs w:val="24"/>
        </w:rPr>
        <w:t>Turan</w:t>
      </w:r>
      <w:proofErr w:type="spellEnd"/>
      <w:r w:rsidR="00783A05" w:rsidRPr="007B0ED8">
        <w:rPr>
          <w:rFonts w:ascii="Times New Roman" w:hAnsi="Times New Roman" w:cs="Courier New"/>
          <w:sz w:val="24"/>
          <w:szCs w:val="24"/>
        </w:rPr>
        <w:t xml:space="preserve"> vann han kungens öra. </w:t>
      </w:r>
      <w:r w:rsidRPr="007B0ED8">
        <w:rPr>
          <w:rFonts w:ascii="Times New Roman" w:hAnsi="Times New Roman" w:cs="Courier New"/>
          <w:sz w:val="24"/>
          <w:szCs w:val="24"/>
        </w:rPr>
        <w:t xml:space="preserve">I Indien sägs Mani också haft framgång hos andra lokala kungar och här </w:t>
      </w:r>
      <w:r w:rsidR="00FD5444" w:rsidRPr="007B0ED8">
        <w:rPr>
          <w:rFonts w:ascii="Times New Roman" w:hAnsi="Times New Roman" w:cs="Courier New"/>
          <w:sz w:val="24"/>
          <w:szCs w:val="24"/>
        </w:rPr>
        <w:t xml:space="preserve">kallades </w:t>
      </w:r>
      <w:r w:rsidR="003A2F5C" w:rsidRPr="007B0ED8">
        <w:rPr>
          <w:rFonts w:ascii="Times New Roman" w:hAnsi="Times New Roman" w:cs="Courier New"/>
          <w:sz w:val="24"/>
          <w:szCs w:val="24"/>
        </w:rPr>
        <w:t>han Buddha.</w:t>
      </w:r>
    </w:p>
    <w:p w:rsidR="002A44A2" w:rsidRPr="007B0ED8" w:rsidRDefault="002A44A2" w:rsidP="00DE13BC">
      <w:pPr>
        <w:rPr>
          <w:rFonts w:ascii="Times New Roman" w:hAnsi="Times New Roman" w:cs="Courier New"/>
          <w:sz w:val="24"/>
          <w:szCs w:val="24"/>
        </w:rPr>
      </w:pPr>
    </w:p>
    <w:p w:rsidR="0039518F" w:rsidRPr="007B0ED8" w:rsidRDefault="005572F7" w:rsidP="00DE13BC">
      <w:pPr>
        <w:rPr>
          <w:rFonts w:ascii="Times New Roman" w:hAnsi="Times New Roman" w:cs="Courier New"/>
          <w:sz w:val="24"/>
          <w:szCs w:val="24"/>
        </w:rPr>
      </w:pPr>
      <w:r w:rsidRPr="007B0ED8">
        <w:rPr>
          <w:rFonts w:ascii="Times New Roman" w:hAnsi="Times New Roman" w:cs="Courier New"/>
          <w:sz w:val="24"/>
          <w:szCs w:val="24"/>
        </w:rPr>
        <w:t>Mani var skicklig i att formulera sitt budskap på ett sätt som kunde förstås och övertyga människor i olika kontexter. Han menade att hans religion var det sanna uttrycket av tidigare religioner och lade stor vikt vid att visa hur de lokala traditioner som han stötte på stod i samklang med hans egen lära. Men idéutbytet var inte enkelriktat.</w:t>
      </w:r>
      <w:r w:rsidR="00290AB1" w:rsidRPr="007B0ED8">
        <w:rPr>
          <w:rFonts w:ascii="Times New Roman" w:hAnsi="Times New Roman" w:cs="Courier New"/>
          <w:sz w:val="24"/>
          <w:szCs w:val="24"/>
        </w:rPr>
        <w:t xml:space="preserve"> Mani påverkades av de asketiskt buddhistiska bruk som han stötte på och det universalistiska inslaget i </w:t>
      </w:r>
      <w:r w:rsidR="00172522" w:rsidRPr="007B0ED8">
        <w:rPr>
          <w:rFonts w:ascii="Times New Roman" w:hAnsi="Times New Roman" w:cs="Courier New"/>
          <w:sz w:val="24"/>
          <w:szCs w:val="24"/>
        </w:rPr>
        <w:t>budskap</w:t>
      </w:r>
      <w:r w:rsidR="000777E9" w:rsidRPr="007B0ED8">
        <w:rPr>
          <w:rFonts w:ascii="Times New Roman" w:hAnsi="Times New Roman" w:cs="Courier New"/>
          <w:sz w:val="24"/>
          <w:szCs w:val="24"/>
        </w:rPr>
        <w:t>et</w:t>
      </w:r>
      <w:r w:rsidR="00172522" w:rsidRPr="007B0ED8">
        <w:rPr>
          <w:rFonts w:ascii="Times New Roman" w:hAnsi="Times New Roman" w:cs="Courier New"/>
          <w:sz w:val="24"/>
          <w:szCs w:val="24"/>
        </w:rPr>
        <w:t xml:space="preserve"> </w:t>
      </w:r>
      <w:r w:rsidR="00290AB1" w:rsidRPr="007B0ED8">
        <w:rPr>
          <w:rFonts w:ascii="Times New Roman" w:hAnsi="Times New Roman" w:cs="Courier New"/>
          <w:sz w:val="24"/>
          <w:szCs w:val="24"/>
        </w:rPr>
        <w:t>verkar också ha ökat i Indien.</w:t>
      </w:r>
      <w:r w:rsidR="00290AB1" w:rsidRPr="007B0ED8">
        <w:rPr>
          <w:rStyle w:val="Fotnotsreferens"/>
          <w:rFonts w:ascii="Times New Roman" w:hAnsi="Times New Roman" w:cs="Courier New"/>
          <w:sz w:val="24"/>
          <w:szCs w:val="24"/>
        </w:rPr>
        <w:footnoteReference w:id="14"/>
      </w:r>
      <w:r w:rsidR="00290AB1" w:rsidRPr="007B0ED8">
        <w:rPr>
          <w:rFonts w:ascii="Times New Roman" w:hAnsi="Times New Roman" w:cs="Courier New"/>
          <w:sz w:val="24"/>
          <w:szCs w:val="24"/>
        </w:rPr>
        <w:t xml:space="preserve"> </w:t>
      </w:r>
    </w:p>
    <w:p w:rsidR="00286173" w:rsidRPr="007B0ED8" w:rsidRDefault="00286173" w:rsidP="00DE13BC">
      <w:pPr>
        <w:rPr>
          <w:rFonts w:ascii="Times New Roman" w:hAnsi="Times New Roman" w:cs="Courier New"/>
          <w:sz w:val="24"/>
          <w:szCs w:val="24"/>
        </w:rPr>
      </w:pPr>
    </w:p>
    <w:p w:rsidR="006E152F" w:rsidRPr="007B0ED8" w:rsidRDefault="008C4540" w:rsidP="00DE13BC">
      <w:pPr>
        <w:rPr>
          <w:rFonts w:ascii="Times New Roman" w:hAnsi="Times New Roman" w:cs="Courier New"/>
          <w:sz w:val="24"/>
          <w:szCs w:val="24"/>
        </w:rPr>
      </w:pPr>
      <w:r w:rsidRPr="007B0ED8">
        <w:rPr>
          <w:rFonts w:ascii="Times New Roman" w:hAnsi="Times New Roman" w:cs="Courier New"/>
          <w:sz w:val="24"/>
          <w:szCs w:val="24"/>
        </w:rPr>
        <w:t>Men trots den framgångs</w:t>
      </w:r>
      <w:r w:rsidR="005046E6" w:rsidRPr="007B0ED8">
        <w:rPr>
          <w:rFonts w:ascii="Times New Roman" w:hAnsi="Times New Roman" w:cs="Courier New"/>
          <w:sz w:val="24"/>
          <w:szCs w:val="24"/>
        </w:rPr>
        <w:t xml:space="preserve">saga </w:t>
      </w:r>
      <w:r w:rsidR="00166B20" w:rsidRPr="007B0ED8">
        <w:rPr>
          <w:rFonts w:ascii="Times New Roman" w:hAnsi="Times New Roman" w:cs="Courier New"/>
          <w:sz w:val="24"/>
          <w:szCs w:val="24"/>
        </w:rPr>
        <w:t>som beskri</w:t>
      </w:r>
      <w:r w:rsidR="005046E6" w:rsidRPr="007B0ED8">
        <w:rPr>
          <w:rFonts w:ascii="Times New Roman" w:hAnsi="Times New Roman" w:cs="Courier New"/>
          <w:sz w:val="24"/>
          <w:szCs w:val="24"/>
        </w:rPr>
        <w:t>v</w:t>
      </w:r>
      <w:r w:rsidR="00166B20" w:rsidRPr="007B0ED8">
        <w:rPr>
          <w:rFonts w:ascii="Times New Roman" w:hAnsi="Times New Roman" w:cs="Courier New"/>
          <w:sz w:val="24"/>
          <w:szCs w:val="24"/>
        </w:rPr>
        <w:t>s i de hagiografiska texterna mötte Mani även motstånd i Indien.</w:t>
      </w:r>
      <w:r w:rsidR="005572F7" w:rsidRPr="007B0ED8">
        <w:rPr>
          <w:rFonts w:ascii="Times New Roman" w:hAnsi="Times New Roman" w:cs="Courier New"/>
          <w:sz w:val="24"/>
          <w:szCs w:val="24"/>
        </w:rPr>
        <w:t xml:space="preserve"> </w:t>
      </w:r>
      <w:r w:rsidR="00166B20" w:rsidRPr="007B0ED8">
        <w:rPr>
          <w:rFonts w:ascii="Times New Roman" w:hAnsi="Times New Roman" w:cs="Courier New"/>
          <w:sz w:val="24"/>
          <w:szCs w:val="24"/>
        </w:rPr>
        <w:t xml:space="preserve">År 242 eller 243 </w:t>
      </w:r>
      <w:r w:rsidR="00783A05" w:rsidRPr="007B0ED8">
        <w:rPr>
          <w:rFonts w:ascii="Times New Roman" w:hAnsi="Times New Roman" w:cs="Courier New"/>
          <w:sz w:val="24"/>
          <w:szCs w:val="24"/>
        </w:rPr>
        <w:t xml:space="preserve">finner vi Mani åter i det </w:t>
      </w:r>
      <w:proofErr w:type="spellStart"/>
      <w:r w:rsidR="00783A05" w:rsidRPr="007B0ED8">
        <w:rPr>
          <w:rFonts w:ascii="Times New Roman" w:hAnsi="Times New Roman" w:cs="Courier New"/>
          <w:sz w:val="24"/>
          <w:szCs w:val="24"/>
        </w:rPr>
        <w:t>sasanidiska</w:t>
      </w:r>
      <w:proofErr w:type="spellEnd"/>
      <w:r w:rsidR="00783A05" w:rsidRPr="007B0ED8">
        <w:rPr>
          <w:rFonts w:ascii="Times New Roman" w:hAnsi="Times New Roman" w:cs="Courier New"/>
          <w:sz w:val="24"/>
          <w:szCs w:val="24"/>
        </w:rPr>
        <w:t xml:space="preserve"> riket där han också framgångsrikt förkunnar sin lära för den nye kungen </w:t>
      </w:r>
      <w:proofErr w:type="spellStart"/>
      <w:r w:rsidR="00783A05" w:rsidRPr="007B0ED8">
        <w:rPr>
          <w:rFonts w:ascii="Times New Roman" w:hAnsi="Times New Roman" w:cs="Courier New"/>
          <w:sz w:val="24"/>
          <w:szCs w:val="24"/>
        </w:rPr>
        <w:t>Shapur</w:t>
      </w:r>
      <w:proofErr w:type="spellEnd"/>
      <w:r w:rsidR="00783A05" w:rsidRPr="007B0ED8">
        <w:rPr>
          <w:rFonts w:ascii="Times New Roman" w:hAnsi="Times New Roman" w:cs="Courier New"/>
          <w:sz w:val="24"/>
          <w:szCs w:val="24"/>
        </w:rPr>
        <w:t xml:space="preserve"> I. Därmed får Mani stort inflytande fram till kungens död </w:t>
      </w:r>
      <w:r w:rsidR="001426AD" w:rsidRPr="007B0ED8">
        <w:rPr>
          <w:rFonts w:ascii="Times New Roman" w:hAnsi="Times New Roman" w:cs="Courier New"/>
          <w:sz w:val="24"/>
          <w:szCs w:val="24"/>
        </w:rPr>
        <w:t xml:space="preserve">år </w:t>
      </w:r>
      <w:r w:rsidR="00783A05" w:rsidRPr="007B0ED8">
        <w:rPr>
          <w:rFonts w:ascii="Times New Roman" w:hAnsi="Times New Roman" w:cs="Courier New"/>
          <w:sz w:val="24"/>
          <w:szCs w:val="24"/>
        </w:rPr>
        <w:t xml:space="preserve">273. </w:t>
      </w:r>
      <w:r w:rsidR="00537573" w:rsidRPr="007B0ED8">
        <w:rPr>
          <w:rFonts w:ascii="Times New Roman" w:hAnsi="Times New Roman" w:cs="Courier New"/>
          <w:sz w:val="24"/>
          <w:szCs w:val="24"/>
        </w:rPr>
        <w:t>Det är i denna kontext som en av Manis skrifter</w:t>
      </w:r>
      <w:r w:rsidR="0084386B" w:rsidRPr="007B0ED8">
        <w:rPr>
          <w:rFonts w:ascii="Times New Roman" w:hAnsi="Times New Roman" w:cs="Courier New"/>
          <w:sz w:val="24"/>
          <w:szCs w:val="24"/>
        </w:rPr>
        <w:t>,</w:t>
      </w:r>
      <w:r w:rsidR="00537573" w:rsidRPr="007B0ED8">
        <w:rPr>
          <w:rFonts w:ascii="Times New Roman" w:hAnsi="Times New Roman" w:cs="Courier New"/>
          <w:sz w:val="24"/>
          <w:szCs w:val="24"/>
        </w:rPr>
        <w:t xml:space="preserve"> </w:t>
      </w:r>
      <w:proofErr w:type="spellStart"/>
      <w:r w:rsidR="00537573" w:rsidRPr="007B0ED8">
        <w:rPr>
          <w:rFonts w:ascii="Times New Roman" w:hAnsi="Times New Roman" w:cs="Courier New"/>
          <w:i/>
          <w:sz w:val="24"/>
          <w:szCs w:val="24"/>
        </w:rPr>
        <w:t>Sabuhragan</w:t>
      </w:r>
      <w:proofErr w:type="spellEnd"/>
      <w:r w:rsidR="0084386B" w:rsidRPr="007B0ED8">
        <w:rPr>
          <w:rFonts w:ascii="Times New Roman" w:hAnsi="Times New Roman" w:cs="Courier New"/>
          <w:i/>
          <w:sz w:val="24"/>
          <w:szCs w:val="24"/>
        </w:rPr>
        <w:t>,</w:t>
      </w:r>
      <w:r w:rsidR="00537573" w:rsidRPr="007B0ED8">
        <w:rPr>
          <w:rFonts w:ascii="Times New Roman" w:hAnsi="Times New Roman" w:cs="Courier New"/>
          <w:i/>
          <w:sz w:val="24"/>
          <w:szCs w:val="24"/>
        </w:rPr>
        <w:t xml:space="preserve"> </w:t>
      </w:r>
      <w:r w:rsidR="00537573" w:rsidRPr="007B0ED8">
        <w:rPr>
          <w:rFonts w:ascii="Times New Roman" w:hAnsi="Times New Roman" w:cs="Courier New"/>
          <w:sz w:val="24"/>
          <w:szCs w:val="24"/>
        </w:rPr>
        <w:t>kom till.</w:t>
      </w:r>
      <w:r w:rsidR="00537573" w:rsidRPr="007B0ED8">
        <w:rPr>
          <w:rStyle w:val="Fotnotsreferens"/>
          <w:rFonts w:ascii="Times New Roman" w:hAnsi="Times New Roman" w:cs="Courier New"/>
          <w:sz w:val="24"/>
          <w:szCs w:val="24"/>
        </w:rPr>
        <w:footnoteReference w:id="15"/>
      </w:r>
      <w:r w:rsidR="008A7EDF" w:rsidRPr="007B0ED8">
        <w:rPr>
          <w:rFonts w:ascii="Times New Roman" w:hAnsi="Times New Roman" w:cs="Courier New"/>
          <w:sz w:val="24"/>
          <w:szCs w:val="24"/>
        </w:rPr>
        <w:t xml:space="preserve"> </w:t>
      </w:r>
    </w:p>
    <w:p w:rsidR="00C9014E" w:rsidRPr="007B0ED8" w:rsidRDefault="00C9014E" w:rsidP="00DE13BC">
      <w:pPr>
        <w:rPr>
          <w:rFonts w:ascii="Times New Roman" w:hAnsi="Times New Roman" w:cs="Courier New"/>
          <w:sz w:val="24"/>
          <w:szCs w:val="24"/>
        </w:rPr>
      </w:pPr>
    </w:p>
    <w:p w:rsidR="00275C2B" w:rsidRPr="007B0ED8" w:rsidRDefault="008A7EDF" w:rsidP="00DE13BC">
      <w:pPr>
        <w:rPr>
          <w:rFonts w:ascii="Times New Roman" w:hAnsi="Times New Roman" w:cs="Courier New"/>
          <w:sz w:val="24"/>
          <w:szCs w:val="24"/>
        </w:rPr>
      </w:pPr>
      <w:r w:rsidRPr="007B0ED8">
        <w:rPr>
          <w:rFonts w:ascii="Times New Roman" w:hAnsi="Times New Roman" w:cs="Courier New"/>
          <w:sz w:val="24"/>
          <w:szCs w:val="24"/>
        </w:rPr>
        <w:t xml:space="preserve">I </w:t>
      </w:r>
      <w:proofErr w:type="spellStart"/>
      <w:r w:rsidRPr="007B0ED8">
        <w:rPr>
          <w:rFonts w:ascii="Times New Roman" w:hAnsi="Times New Roman" w:cs="Courier New"/>
          <w:sz w:val="24"/>
          <w:szCs w:val="24"/>
        </w:rPr>
        <w:t>Sabuhragan</w:t>
      </w:r>
      <w:proofErr w:type="spellEnd"/>
      <w:r w:rsidRPr="007B0ED8">
        <w:rPr>
          <w:rFonts w:ascii="Times New Roman" w:hAnsi="Times New Roman" w:cs="Courier New"/>
          <w:sz w:val="24"/>
          <w:szCs w:val="24"/>
        </w:rPr>
        <w:t xml:space="preserve"> är de </w:t>
      </w:r>
      <w:proofErr w:type="spellStart"/>
      <w:r w:rsidRPr="007B0ED8">
        <w:rPr>
          <w:rFonts w:ascii="Times New Roman" w:hAnsi="Times New Roman" w:cs="Courier New"/>
          <w:sz w:val="24"/>
          <w:szCs w:val="24"/>
        </w:rPr>
        <w:t>zoroastriska</w:t>
      </w:r>
      <w:proofErr w:type="spellEnd"/>
      <w:r w:rsidRPr="007B0ED8">
        <w:rPr>
          <w:rFonts w:ascii="Times New Roman" w:hAnsi="Times New Roman" w:cs="Courier New"/>
          <w:sz w:val="24"/>
          <w:szCs w:val="24"/>
        </w:rPr>
        <w:t xml:space="preserve"> inslagen mycket tydliga, men det </w:t>
      </w:r>
      <w:r w:rsidR="00677E9C" w:rsidRPr="007B0ED8">
        <w:rPr>
          <w:rFonts w:ascii="Times New Roman" w:hAnsi="Times New Roman" w:cs="Courier New"/>
          <w:sz w:val="24"/>
          <w:szCs w:val="24"/>
        </w:rPr>
        <w:t xml:space="preserve">hindrar </w:t>
      </w:r>
      <w:r w:rsidRPr="007B0ED8">
        <w:rPr>
          <w:rFonts w:ascii="Times New Roman" w:hAnsi="Times New Roman" w:cs="Courier New"/>
          <w:sz w:val="24"/>
          <w:szCs w:val="24"/>
        </w:rPr>
        <w:t>inte a</w:t>
      </w:r>
      <w:r w:rsidR="00677E9C" w:rsidRPr="007B0ED8">
        <w:rPr>
          <w:rFonts w:ascii="Times New Roman" w:hAnsi="Times New Roman" w:cs="Courier New"/>
          <w:sz w:val="24"/>
          <w:szCs w:val="24"/>
        </w:rPr>
        <w:t>t</w:t>
      </w:r>
      <w:r w:rsidRPr="007B0ED8">
        <w:rPr>
          <w:rFonts w:ascii="Times New Roman" w:hAnsi="Times New Roman" w:cs="Courier New"/>
          <w:sz w:val="24"/>
          <w:szCs w:val="24"/>
        </w:rPr>
        <w:t xml:space="preserve">t Mani framstår som en bibliskt grundad textutläggare. Mani såg sig som det sanna uttrycket för kristendom, </w:t>
      </w:r>
      <w:proofErr w:type="spellStart"/>
      <w:r w:rsidRPr="007B0ED8">
        <w:rPr>
          <w:rFonts w:ascii="Times New Roman" w:hAnsi="Times New Roman" w:cs="Courier New"/>
          <w:sz w:val="24"/>
          <w:szCs w:val="24"/>
        </w:rPr>
        <w:t>zoroastrism</w:t>
      </w:r>
      <w:proofErr w:type="spellEnd"/>
      <w:r w:rsidRPr="007B0ED8">
        <w:rPr>
          <w:rFonts w:ascii="Times New Roman" w:hAnsi="Times New Roman" w:cs="Courier New"/>
          <w:sz w:val="24"/>
          <w:szCs w:val="24"/>
        </w:rPr>
        <w:t xml:space="preserve"> och buddhism. Detta passade som hand i handske med </w:t>
      </w:r>
      <w:proofErr w:type="spellStart"/>
      <w:r w:rsidRPr="007B0ED8">
        <w:rPr>
          <w:rFonts w:ascii="Times New Roman" w:hAnsi="Times New Roman" w:cs="Courier New"/>
          <w:sz w:val="24"/>
          <w:szCs w:val="24"/>
        </w:rPr>
        <w:t>Shapurs</w:t>
      </w:r>
      <w:proofErr w:type="spellEnd"/>
      <w:r w:rsidRPr="007B0ED8">
        <w:rPr>
          <w:rFonts w:ascii="Times New Roman" w:hAnsi="Times New Roman" w:cs="Courier New"/>
          <w:sz w:val="24"/>
          <w:szCs w:val="24"/>
        </w:rPr>
        <w:t xml:space="preserve"> ambition att expandera sitt imperium och samtidigt bygga dess inre identitet starkare. </w:t>
      </w:r>
      <w:r w:rsidR="00677E9C" w:rsidRPr="007B0ED8">
        <w:rPr>
          <w:rFonts w:ascii="Times New Roman" w:hAnsi="Times New Roman" w:cs="Courier New"/>
          <w:sz w:val="24"/>
          <w:szCs w:val="24"/>
        </w:rPr>
        <w:t xml:space="preserve">Uttrycken för den i väst blev mer kristet utformat och i öster ser vi starkare inslag av </w:t>
      </w:r>
      <w:proofErr w:type="spellStart"/>
      <w:r w:rsidR="00677E9C" w:rsidRPr="007B0ED8">
        <w:rPr>
          <w:rFonts w:ascii="Times New Roman" w:hAnsi="Times New Roman" w:cs="Courier New"/>
          <w:sz w:val="24"/>
          <w:szCs w:val="24"/>
        </w:rPr>
        <w:t>zoroastrism</w:t>
      </w:r>
      <w:proofErr w:type="spellEnd"/>
      <w:r w:rsidR="00677E9C" w:rsidRPr="007B0ED8">
        <w:rPr>
          <w:rFonts w:ascii="Times New Roman" w:hAnsi="Times New Roman" w:cs="Courier New"/>
          <w:sz w:val="24"/>
          <w:szCs w:val="24"/>
        </w:rPr>
        <w:t xml:space="preserve"> oc</w:t>
      </w:r>
      <w:r w:rsidR="00F77916" w:rsidRPr="007B0ED8">
        <w:rPr>
          <w:rFonts w:ascii="Times New Roman" w:hAnsi="Times New Roman" w:cs="Courier New"/>
          <w:sz w:val="24"/>
          <w:szCs w:val="24"/>
        </w:rPr>
        <w:t>h</w:t>
      </w:r>
      <w:r w:rsidR="00677E9C" w:rsidRPr="007B0ED8">
        <w:rPr>
          <w:rFonts w:ascii="Times New Roman" w:hAnsi="Times New Roman" w:cs="Courier New"/>
          <w:sz w:val="24"/>
          <w:szCs w:val="24"/>
        </w:rPr>
        <w:t xml:space="preserve"> buddhism. </w:t>
      </w:r>
      <w:r w:rsidR="00F77916" w:rsidRPr="007B0ED8">
        <w:rPr>
          <w:rFonts w:ascii="Times New Roman" w:hAnsi="Times New Roman" w:cs="Courier New"/>
          <w:sz w:val="24"/>
          <w:szCs w:val="24"/>
        </w:rPr>
        <w:t xml:space="preserve">Dessa två huvudlinjer, </w:t>
      </w:r>
      <w:proofErr w:type="spellStart"/>
      <w:r w:rsidR="00F77916" w:rsidRPr="007B0ED8">
        <w:rPr>
          <w:rFonts w:ascii="Times New Roman" w:hAnsi="Times New Roman" w:cs="Courier New"/>
          <w:sz w:val="24"/>
          <w:szCs w:val="24"/>
        </w:rPr>
        <w:t>zoroastriskt</w:t>
      </w:r>
      <w:proofErr w:type="spellEnd"/>
      <w:r w:rsidR="00F77916" w:rsidRPr="007B0ED8">
        <w:rPr>
          <w:rFonts w:ascii="Times New Roman" w:hAnsi="Times New Roman" w:cs="Courier New"/>
          <w:sz w:val="24"/>
          <w:szCs w:val="24"/>
        </w:rPr>
        <w:t xml:space="preserve">-buddhistiskt präglad och judekristen manikeism verkar senare ha smält samman i </w:t>
      </w:r>
      <w:r w:rsidR="00CD6400" w:rsidRPr="007B0ED8">
        <w:rPr>
          <w:rFonts w:ascii="Times New Roman" w:hAnsi="Times New Roman" w:cs="Courier New"/>
          <w:sz w:val="24"/>
          <w:szCs w:val="24"/>
        </w:rPr>
        <w:t>C</w:t>
      </w:r>
      <w:r w:rsidR="00F77916" w:rsidRPr="007B0ED8">
        <w:rPr>
          <w:rFonts w:ascii="Times New Roman" w:hAnsi="Times New Roman" w:cs="Courier New"/>
          <w:sz w:val="24"/>
          <w:szCs w:val="24"/>
        </w:rPr>
        <w:t xml:space="preserve">entralasien, vilket kommer till uttryck i turfandokumenten. </w:t>
      </w:r>
    </w:p>
    <w:p w:rsidR="0041306F" w:rsidRPr="007B0ED8" w:rsidRDefault="0041306F" w:rsidP="00DE13BC">
      <w:pPr>
        <w:rPr>
          <w:rFonts w:ascii="Times New Roman" w:hAnsi="Times New Roman" w:cs="Courier New"/>
          <w:sz w:val="24"/>
          <w:szCs w:val="24"/>
        </w:rPr>
      </w:pPr>
    </w:p>
    <w:p w:rsidR="004C6F97" w:rsidRPr="007B0ED8" w:rsidRDefault="00F77916" w:rsidP="00DE13BC">
      <w:pPr>
        <w:rPr>
          <w:rFonts w:ascii="Times New Roman" w:hAnsi="Times New Roman" w:cs="Courier New"/>
          <w:sz w:val="24"/>
          <w:szCs w:val="24"/>
        </w:rPr>
      </w:pPr>
      <w:r w:rsidRPr="007B0ED8">
        <w:rPr>
          <w:rFonts w:ascii="Times New Roman" w:hAnsi="Times New Roman" w:cs="Courier New"/>
          <w:sz w:val="24"/>
          <w:szCs w:val="24"/>
        </w:rPr>
        <w:t xml:space="preserve">Manis budskap nådde Egypten cirka år 260 och han skickade även missionärer till </w:t>
      </w:r>
      <w:r w:rsidR="00830DD5" w:rsidRPr="007B0ED8">
        <w:rPr>
          <w:rFonts w:ascii="Times New Roman" w:hAnsi="Times New Roman" w:cs="Courier New"/>
          <w:sz w:val="24"/>
          <w:szCs w:val="24"/>
        </w:rPr>
        <w:t xml:space="preserve">staden </w:t>
      </w:r>
      <w:proofErr w:type="spellStart"/>
      <w:r w:rsidR="00830DD5" w:rsidRPr="007B0ED8">
        <w:rPr>
          <w:rFonts w:ascii="Times New Roman" w:hAnsi="Times New Roman" w:cs="Courier New"/>
          <w:sz w:val="24"/>
          <w:szCs w:val="24"/>
        </w:rPr>
        <w:t>Waruc</w:t>
      </w:r>
      <w:proofErr w:type="spellEnd"/>
      <w:r w:rsidR="00830DD5" w:rsidRPr="007B0ED8">
        <w:rPr>
          <w:rFonts w:ascii="Times New Roman" w:hAnsi="Times New Roman" w:cs="Courier New"/>
          <w:sz w:val="24"/>
          <w:szCs w:val="24"/>
        </w:rPr>
        <w:t xml:space="preserve"> i dagens </w:t>
      </w:r>
      <w:r w:rsidRPr="007B0ED8">
        <w:rPr>
          <w:rFonts w:ascii="Times New Roman" w:hAnsi="Times New Roman" w:cs="Courier New"/>
          <w:sz w:val="24"/>
          <w:szCs w:val="24"/>
        </w:rPr>
        <w:t xml:space="preserve">Georgien. </w:t>
      </w:r>
      <w:r w:rsidR="00830DD5" w:rsidRPr="007B0ED8">
        <w:rPr>
          <w:rFonts w:ascii="Times New Roman" w:hAnsi="Times New Roman" w:cs="Courier New"/>
          <w:sz w:val="24"/>
          <w:szCs w:val="24"/>
        </w:rPr>
        <w:t xml:space="preserve">Efter </w:t>
      </w:r>
      <w:proofErr w:type="spellStart"/>
      <w:r w:rsidR="00830DD5" w:rsidRPr="007B0ED8">
        <w:rPr>
          <w:rFonts w:ascii="Times New Roman" w:hAnsi="Times New Roman" w:cs="Courier New"/>
          <w:sz w:val="24"/>
          <w:szCs w:val="24"/>
        </w:rPr>
        <w:t>Shapurs</w:t>
      </w:r>
      <w:proofErr w:type="spellEnd"/>
      <w:r w:rsidR="00830DD5" w:rsidRPr="007B0ED8">
        <w:rPr>
          <w:rFonts w:ascii="Times New Roman" w:hAnsi="Times New Roman" w:cs="Courier New"/>
          <w:sz w:val="24"/>
          <w:szCs w:val="24"/>
        </w:rPr>
        <w:t xml:space="preserve"> död år 273 tillträdde </w:t>
      </w:r>
      <w:proofErr w:type="spellStart"/>
      <w:r w:rsidR="00830DD5" w:rsidRPr="007B0ED8">
        <w:rPr>
          <w:rFonts w:ascii="Times New Roman" w:hAnsi="Times New Roman" w:cs="Courier New"/>
          <w:sz w:val="24"/>
          <w:szCs w:val="24"/>
        </w:rPr>
        <w:t>Hormizd</w:t>
      </w:r>
      <w:proofErr w:type="spellEnd"/>
      <w:r w:rsidR="00830DD5" w:rsidRPr="007B0ED8">
        <w:rPr>
          <w:rFonts w:ascii="Times New Roman" w:hAnsi="Times New Roman" w:cs="Courier New"/>
          <w:sz w:val="24"/>
          <w:szCs w:val="24"/>
        </w:rPr>
        <w:t xml:space="preserve"> I med vilken Mani inte hade några problem. </w:t>
      </w:r>
      <w:proofErr w:type="spellStart"/>
      <w:r w:rsidR="00830DD5" w:rsidRPr="007B0ED8">
        <w:rPr>
          <w:rFonts w:ascii="Times New Roman" w:hAnsi="Times New Roman" w:cs="Courier New"/>
          <w:sz w:val="24"/>
          <w:szCs w:val="24"/>
        </w:rPr>
        <w:t>Hormizd</w:t>
      </w:r>
      <w:proofErr w:type="spellEnd"/>
      <w:r w:rsidR="00830DD5" w:rsidRPr="007B0ED8">
        <w:rPr>
          <w:rFonts w:ascii="Times New Roman" w:hAnsi="Times New Roman" w:cs="Courier New"/>
          <w:sz w:val="24"/>
          <w:szCs w:val="24"/>
        </w:rPr>
        <w:t xml:space="preserve"> regerade </w:t>
      </w:r>
      <w:r w:rsidR="005046E6" w:rsidRPr="007B0ED8">
        <w:rPr>
          <w:rFonts w:ascii="Times New Roman" w:hAnsi="Times New Roman" w:cs="Courier New"/>
          <w:sz w:val="24"/>
          <w:szCs w:val="24"/>
        </w:rPr>
        <w:t xml:space="preserve">dock endast i ett år och när </w:t>
      </w:r>
      <w:proofErr w:type="spellStart"/>
      <w:r w:rsidR="005046E6" w:rsidRPr="007B0ED8">
        <w:rPr>
          <w:rFonts w:ascii="Times New Roman" w:hAnsi="Times New Roman" w:cs="Courier New"/>
          <w:sz w:val="24"/>
          <w:szCs w:val="24"/>
        </w:rPr>
        <w:t>Ba</w:t>
      </w:r>
      <w:r w:rsidR="00830DD5" w:rsidRPr="007B0ED8">
        <w:rPr>
          <w:rFonts w:ascii="Times New Roman" w:hAnsi="Times New Roman" w:cs="Courier New"/>
          <w:sz w:val="24"/>
          <w:szCs w:val="24"/>
        </w:rPr>
        <w:t>hram</w:t>
      </w:r>
      <w:proofErr w:type="spellEnd"/>
      <w:r w:rsidR="00830DD5" w:rsidRPr="007B0ED8">
        <w:rPr>
          <w:rFonts w:ascii="Times New Roman" w:hAnsi="Times New Roman" w:cs="Courier New"/>
          <w:sz w:val="24"/>
          <w:szCs w:val="24"/>
        </w:rPr>
        <w:t xml:space="preserve"> I kom till makten 274 stundade svåra tider för Mani och hans lärjungar. Manis budskap som vi kom</w:t>
      </w:r>
      <w:r w:rsidR="00D37456" w:rsidRPr="007B0ED8">
        <w:rPr>
          <w:rFonts w:ascii="Times New Roman" w:hAnsi="Times New Roman" w:cs="Courier New"/>
          <w:sz w:val="24"/>
          <w:szCs w:val="24"/>
        </w:rPr>
        <w:t>m</w:t>
      </w:r>
      <w:r w:rsidR="00830DD5" w:rsidRPr="007B0ED8">
        <w:rPr>
          <w:rFonts w:ascii="Times New Roman" w:hAnsi="Times New Roman" w:cs="Courier New"/>
          <w:sz w:val="24"/>
          <w:szCs w:val="24"/>
        </w:rPr>
        <w:t xml:space="preserve">er gå </w:t>
      </w:r>
      <w:r w:rsidR="00830DD5" w:rsidRPr="007B0ED8">
        <w:rPr>
          <w:rFonts w:ascii="Times New Roman" w:hAnsi="Times New Roman" w:cs="Courier New"/>
          <w:sz w:val="24"/>
          <w:szCs w:val="24"/>
        </w:rPr>
        <w:lastRenderedPageBreak/>
        <w:t xml:space="preserve">närmre in på nedan stod i bjärt kontrast till det persiska krigaridealet. </w:t>
      </w:r>
      <w:r w:rsidR="007212FD" w:rsidRPr="007B0ED8">
        <w:rPr>
          <w:rFonts w:ascii="Times New Roman" w:hAnsi="Times New Roman" w:cs="Courier New"/>
          <w:sz w:val="24"/>
          <w:szCs w:val="24"/>
        </w:rPr>
        <w:t>Framförallt var det k</w:t>
      </w:r>
      <w:r w:rsidR="00830DD5" w:rsidRPr="007B0ED8">
        <w:rPr>
          <w:rFonts w:ascii="Times New Roman" w:hAnsi="Times New Roman" w:cs="Courier New"/>
          <w:sz w:val="24"/>
          <w:szCs w:val="24"/>
        </w:rPr>
        <w:t xml:space="preserve">ritiken mot att döda och </w:t>
      </w:r>
      <w:r w:rsidR="00CD0D00" w:rsidRPr="007B0ED8">
        <w:rPr>
          <w:rFonts w:ascii="Times New Roman" w:hAnsi="Times New Roman" w:cs="Courier New"/>
          <w:sz w:val="24"/>
          <w:szCs w:val="24"/>
        </w:rPr>
        <w:t xml:space="preserve">mot </w:t>
      </w:r>
      <w:r w:rsidR="00830DD5" w:rsidRPr="007B0ED8">
        <w:rPr>
          <w:rFonts w:ascii="Times New Roman" w:hAnsi="Times New Roman" w:cs="Courier New"/>
          <w:sz w:val="24"/>
          <w:szCs w:val="24"/>
        </w:rPr>
        <w:t xml:space="preserve">att fortplanta sig </w:t>
      </w:r>
      <w:r w:rsidR="00CD0D00" w:rsidRPr="007B0ED8">
        <w:rPr>
          <w:rFonts w:ascii="Times New Roman" w:hAnsi="Times New Roman" w:cs="Courier New"/>
          <w:sz w:val="24"/>
          <w:szCs w:val="24"/>
        </w:rPr>
        <w:t xml:space="preserve">som </w:t>
      </w:r>
      <w:r w:rsidR="000B71CC" w:rsidRPr="007B0ED8">
        <w:rPr>
          <w:rFonts w:ascii="Times New Roman" w:hAnsi="Times New Roman" w:cs="Courier New"/>
          <w:sz w:val="24"/>
          <w:szCs w:val="24"/>
        </w:rPr>
        <w:t>inte togs väl u</w:t>
      </w:r>
      <w:r w:rsidR="00D37456" w:rsidRPr="007B0ED8">
        <w:rPr>
          <w:rFonts w:ascii="Times New Roman" w:hAnsi="Times New Roman" w:cs="Courier New"/>
          <w:sz w:val="24"/>
          <w:szCs w:val="24"/>
        </w:rPr>
        <w:t>p</w:t>
      </w:r>
      <w:r w:rsidR="000B71CC" w:rsidRPr="007B0ED8">
        <w:rPr>
          <w:rFonts w:ascii="Times New Roman" w:hAnsi="Times New Roman" w:cs="Courier New"/>
          <w:sz w:val="24"/>
          <w:szCs w:val="24"/>
        </w:rPr>
        <w:t xml:space="preserve">p av </w:t>
      </w:r>
      <w:proofErr w:type="spellStart"/>
      <w:r w:rsidR="000B71CC" w:rsidRPr="007B0ED8">
        <w:rPr>
          <w:rFonts w:ascii="Times New Roman" w:hAnsi="Times New Roman" w:cs="Courier New"/>
          <w:sz w:val="24"/>
          <w:szCs w:val="24"/>
        </w:rPr>
        <w:t>Bahram</w:t>
      </w:r>
      <w:proofErr w:type="spellEnd"/>
      <w:r w:rsidR="000B71CC" w:rsidRPr="007B0ED8">
        <w:rPr>
          <w:rFonts w:ascii="Times New Roman" w:hAnsi="Times New Roman" w:cs="Courier New"/>
          <w:sz w:val="24"/>
          <w:szCs w:val="24"/>
        </w:rPr>
        <w:t>.</w:t>
      </w:r>
      <w:r w:rsidR="00D37456" w:rsidRPr="007B0ED8">
        <w:rPr>
          <w:rStyle w:val="Fotnotsreferens"/>
          <w:rFonts w:ascii="Times New Roman" w:hAnsi="Times New Roman" w:cs="Courier New"/>
          <w:sz w:val="24"/>
          <w:szCs w:val="24"/>
        </w:rPr>
        <w:footnoteReference w:id="16"/>
      </w:r>
      <w:r w:rsidR="00D37456" w:rsidRPr="007B0ED8">
        <w:rPr>
          <w:rFonts w:ascii="Times New Roman" w:hAnsi="Times New Roman" w:cs="Courier New"/>
          <w:sz w:val="24"/>
          <w:szCs w:val="24"/>
        </w:rPr>
        <w:t xml:space="preserve"> </w:t>
      </w:r>
    </w:p>
    <w:p w:rsidR="004C6F97" w:rsidRPr="007B0ED8" w:rsidRDefault="004C6F97" w:rsidP="00DE13BC">
      <w:pPr>
        <w:rPr>
          <w:rFonts w:ascii="Times New Roman" w:hAnsi="Times New Roman" w:cs="Courier New"/>
          <w:sz w:val="24"/>
          <w:szCs w:val="24"/>
        </w:rPr>
      </w:pPr>
    </w:p>
    <w:p w:rsidR="00AF6698" w:rsidRPr="007B0ED8" w:rsidRDefault="005046E6" w:rsidP="00DE13BC">
      <w:pPr>
        <w:rPr>
          <w:rFonts w:ascii="Times New Roman" w:hAnsi="Times New Roman" w:cs="Courier New"/>
          <w:sz w:val="24"/>
          <w:szCs w:val="24"/>
        </w:rPr>
      </w:pPr>
      <w:r w:rsidRPr="007B0ED8">
        <w:rPr>
          <w:rFonts w:ascii="Times New Roman" w:hAnsi="Times New Roman" w:cs="Courier New"/>
          <w:sz w:val="24"/>
          <w:szCs w:val="24"/>
        </w:rPr>
        <w:t>G</w:t>
      </w:r>
      <w:r w:rsidR="006B413B" w:rsidRPr="007B0ED8">
        <w:rPr>
          <w:rFonts w:ascii="Times New Roman" w:hAnsi="Times New Roman" w:cs="Courier New"/>
          <w:sz w:val="24"/>
          <w:szCs w:val="24"/>
        </w:rPr>
        <w:t xml:space="preserve">ivetvis såg </w:t>
      </w:r>
      <w:proofErr w:type="spellStart"/>
      <w:r w:rsidR="006B413B" w:rsidRPr="007B0ED8">
        <w:rPr>
          <w:rFonts w:ascii="Times New Roman" w:hAnsi="Times New Roman" w:cs="Courier New"/>
          <w:sz w:val="24"/>
          <w:szCs w:val="24"/>
        </w:rPr>
        <w:t>zoroastriska</w:t>
      </w:r>
      <w:proofErr w:type="spellEnd"/>
      <w:r w:rsidR="006B413B" w:rsidRPr="007B0ED8">
        <w:rPr>
          <w:rFonts w:ascii="Times New Roman" w:hAnsi="Times New Roman" w:cs="Courier New"/>
          <w:sz w:val="24"/>
          <w:szCs w:val="24"/>
        </w:rPr>
        <w:t xml:space="preserve"> ledare </w:t>
      </w:r>
      <w:r w:rsidRPr="007B0ED8">
        <w:rPr>
          <w:rFonts w:ascii="Times New Roman" w:hAnsi="Times New Roman" w:cs="Courier New"/>
          <w:sz w:val="24"/>
          <w:szCs w:val="24"/>
        </w:rPr>
        <w:t xml:space="preserve">sin </w:t>
      </w:r>
      <w:r w:rsidR="006B413B" w:rsidRPr="007B0ED8">
        <w:rPr>
          <w:rFonts w:ascii="Times New Roman" w:hAnsi="Times New Roman" w:cs="Courier New"/>
          <w:sz w:val="24"/>
          <w:szCs w:val="24"/>
        </w:rPr>
        <w:t xml:space="preserve">chans </w:t>
      </w:r>
      <w:r w:rsidRPr="007B0ED8">
        <w:rPr>
          <w:rFonts w:ascii="Times New Roman" w:hAnsi="Times New Roman" w:cs="Courier New"/>
          <w:sz w:val="24"/>
          <w:szCs w:val="24"/>
        </w:rPr>
        <w:t xml:space="preserve">i och med tronskiftet. De </w:t>
      </w:r>
      <w:r w:rsidR="006B413B" w:rsidRPr="007B0ED8">
        <w:rPr>
          <w:rFonts w:ascii="Times New Roman" w:hAnsi="Times New Roman" w:cs="Courier New"/>
          <w:sz w:val="24"/>
          <w:szCs w:val="24"/>
        </w:rPr>
        <w:t>återt</w:t>
      </w:r>
      <w:r w:rsidRPr="007B0ED8">
        <w:rPr>
          <w:rFonts w:ascii="Times New Roman" w:hAnsi="Times New Roman" w:cs="Courier New"/>
          <w:sz w:val="24"/>
          <w:szCs w:val="24"/>
        </w:rPr>
        <w:t>og</w:t>
      </w:r>
      <w:r w:rsidR="006B413B" w:rsidRPr="007B0ED8">
        <w:rPr>
          <w:rFonts w:ascii="Times New Roman" w:hAnsi="Times New Roman" w:cs="Courier New"/>
          <w:sz w:val="24"/>
          <w:szCs w:val="24"/>
        </w:rPr>
        <w:t xml:space="preserve"> förlorad status</w:t>
      </w:r>
      <w:r w:rsidR="00FA09CA" w:rsidRPr="007B0ED8">
        <w:rPr>
          <w:rFonts w:ascii="Times New Roman" w:hAnsi="Times New Roman" w:cs="Courier New"/>
          <w:sz w:val="24"/>
          <w:szCs w:val="24"/>
        </w:rPr>
        <w:t xml:space="preserve"> och framhä</w:t>
      </w:r>
      <w:r w:rsidRPr="007B0ED8">
        <w:rPr>
          <w:rFonts w:ascii="Times New Roman" w:hAnsi="Times New Roman" w:cs="Courier New"/>
          <w:sz w:val="24"/>
          <w:szCs w:val="24"/>
        </w:rPr>
        <w:t>vde det i Manis lära som stred m</w:t>
      </w:r>
      <w:r w:rsidR="00FA09CA" w:rsidRPr="007B0ED8">
        <w:rPr>
          <w:rFonts w:ascii="Times New Roman" w:hAnsi="Times New Roman" w:cs="Courier New"/>
          <w:sz w:val="24"/>
          <w:szCs w:val="24"/>
        </w:rPr>
        <w:t>ot deras krigartraditioner</w:t>
      </w:r>
      <w:r w:rsidR="006B413B" w:rsidRPr="007B0ED8">
        <w:rPr>
          <w:rFonts w:ascii="Times New Roman" w:hAnsi="Times New Roman" w:cs="Courier New"/>
          <w:sz w:val="24"/>
          <w:szCs w:val="24"/>
        </w:rPr>
        <w:t xml:space="preserve">. </w:t>
      </w:r>
      <w:r w:rsidR="00D37456" w:rsidRPr="007B0ED8">
        <w:rPr>
          <w:rFonts w:ascii="Times New Roman" w:hAnsi="Times New Roman" w:cs="Courier New"/>
          <w:sz w:val="24"/>
          <w:szCs w:val="24"/>
        </w:rPr>
        <w:t xml:space="preserve">Mani fängslades och </w:t>
      </w:r>
      <w:r w:rsidR="00AF6698" w:rsidRPr="007B0ED8">
        <w:rPr>
          <w:rFonts w:ascii="Times New Roman" w:hAnsi="Times New Roman" w:cs="Courier New"/>
          <w:sz w:val="24"/>
          <w:szCs w:val="24"/>
        </w:rPr>
        <w:t xml:space="preserve">efter 26 dagar </w:t>
      </w:r>
      <w:r w:rsidR="00D37456" w:rsidRPr="007B0ED8">
        <w:rPr>
          <w:rFonts w:ascii="Times New Roman" w:hAnsi="Times New Roman" w:cs="Courier New"/>
          <w:sz w:val="24"/>
          <w:szCs w:val="24"/>
        </w:rPr>
        <w:t xml:space="preserve">avled </w:t>
      </w:r>
      <w:r w:rsidR="00AF6698" w:rsidRPr="007B0ED8">
        <w:rPr>
          <w:rFonts w:ascii="Times New Roman" w:hAnsi="Times New Roman" w:cs="Courier New"/>
          <w:sz w:val="24"/>
          <w:szCs w:val="24"/>
        </w:rPr>
        <w:t xml:space="preserve">Mani </w:t>
      </w:r>
      <w:r w:rsidR="00D37456" w:rsidRPr="007B0ED8">
        <w:rPr>
          <w:rFonts w:ascii="Times New Roman" w:hAnsi="Times New Roman" w:cs="Courier New"/>
          <w:sz w:val="24"/>
          <w:szCs w:val="24"/>
        </w:rPr>
        <w:t xml:space="preserve">år 276 eller 277. Under den sista tiden fick han ta emot besök och </w:t>
      </w:r>
      <w:r w:rsidR="00AF6698" w:rsidRPr="007B0ED8">
        <w:rPr>
          <w:rFonts w:ascii="Times New Roman" w:hAnsi="Times New Roman" w:cs="Courier New"/>
          <w:sz w:val="24"/>
          <w:szCs w:val="24"/>
        </w:rPr>
        <w:t xml:space="preserve">instruera sina anhängare. Som brukligt var när det gällde döda ”heretiker” visades hans kropp upp utanför stadens murar. Manikéerna tolkade hans död som ett martyrium likt Jesus och menade att han nu stigit upp till ljusets sfär. </w:t>
      </w:r>
    </w:p>
    <w:p w:rsidR="006B413B" w:rsidRPr="007B0ED8" w:rsidRDefault="006B413B" w:rsidP="00DE13BC">
      <w:pPr>
        <w:rPr>
          <w:rFonts w:ascii="Times New Roman" w:hAnsi="Times New Roman" w:cs="Courier New"/>
          <w:sz w:val="24"/>
          <w:szCs w:val="24"/>
        </w:rPr>
      </w:pPr>
    </w:p>
    <w:p w:rsidR="00C11B66" w:rsidRPr="007B0ED8" w:rsidRDefault="00BA408D" w:rsidP="00DE13BC">
      <w:pPr>
        <w:rPr>
          <w:rFonts w:ascii="Times New Roman" w:hAnsi="Times New Roman" w:cs="Courier New"/>
          <w:sz w:val="24"/>
          <w:szCs w:val="24"/>
        </w:rPr>
      </w:pPr>
      <w:r w:rsidRPr="007B0ED8">
        <w:rPr>
          <w:rFonts w:ascii="Times New Roman" w:hAnsi="Times New Roman" w:cs="Courier New"/>
          <w:sz w:val="24"/>
          <w:szCs w:val="24"/>
        </w:rPr>
        <w:t xml:space="preserve">Nu förföljdes </w:t>
      </w:r>
      <w:r w:rsidR="006B413B" w:rsidRPr="007B0ED8">
        <w:rPr>
          <w:rFonts w:ascii="Times New Roman" w:hAnsi="Times New Roman" w:cs="Courier New"/>
          <w:sz w:val="24"/>
          <w:szCs w:val="24"/>
        </w:rPr>
        <w:t>Manikéerna</w:t>
      </w:r>
      <w:r w:rsidRPr="007B0ED8">
        <w:rPr>
          <w:rFonts w:ascii="Times New Roman" w:hAnsi="Times New Roman" w:cs="Courier New"/>
          <w:sz w:val="24"/>
          <w:szCs w:val="24"/>
        </w:rPr>
        <w:t xml:space="preserve"> </w:t>
      </w:r>
      <w:r w:rsidR="006B413B" w:rsidRPr="007B0ED8">
        <w:rPr>
          <w:rFonts w:ascii="Times New Roman" w:hAnsi="Times New Roman" w:cs="Courier New"/>
          <w:sz w:val="24"/>
          <w:szCs w:val="24"/>
        </w:rPr>
        <w:t xml:space="preserve">och dessutom plågades rörelsen av inbördes strider. </w:t>
      </w:r>
      <w:r w:rsidR="00865282" w:rsidRPr="007B0ED8">
        <w:rPr>
          <w:rFonts w:ascii="Times New Roman" w:hAnsi="Times New Roman" w:cs="Courier New"/>
          <w:sz w:val="24"/>
          <w:szCs w:val="24"/>
        </w:rPr>
        <w:t xml:space="preserve">Det ledde till att </w:t>
      </w:r>
      <w:r w:rsidR="00793895" w:rsidRPr="007B0ED8">
        <w:rPr>
          <w:rFonts w:ascii="Times New Roman" w:hAnsi="Times New Roman" w:cs="Courier New"/>
          <w:sz w:val="24"/>
          <w:szCs w:val="24"/>
        </w:rPr>
        <w:t xml:space="preserve">många manikéer lämnade </w:t>
      </w:r>
      <w:proofErr w:type="spellStart"/>
      <w:r w:rsidR="00793895" w:rsidRPr="007B0ED8">
        <w:rPr>
          <w:rFonts w:ascii="Times New Roman" w:hAnsi="Times New Roman" w:cs="Courier New"/>
          <w:sz w:val="24"/>
          <w:szCs w:val="24"/>
        </w:rPr>
        <w:t>S</w:t>
      </w:r>
      <w:r w:rsidR="00865282" w:rsidRPr="007B0ED8">
        <w:rPr>
          <w:rFonts w:ascii="Times New Roman" w:hAnsi="Times New Roman" w:cs="Courier New"/>
          <w:sz w:val="24"/>
          <w:szCs w:val="24"/>
        </w:rPr>
        <w:t>asanid</w:t>
      </w:r>
      <w:r w:rsidR="00AE24E6" w:rsidRPr="007B0ED8">
        <w:rPr>
          <w:rFonts w:ascii="Times New Roman" w:hAnsi="Times New Roman" w:cs="Courier New"/>
          <w:sz w:val="24"/>
          <w:szCs w:val="24"/>
        </w:rPr>
        <w:t>erriket</w:t>
      </w:r>
      <w:proofErr w:type="spellEnd"/>
      <w:r w:rsidR="00865282" w:rsidRPr="007B0ED8">
        <w:rPr>
          <w:rFonts w:ascii="Times New Roman" w:hAnsi="Times New Roman" w:cs="Courier New"/>
          <w:sz w:val="24"/>
          <w:szCs w:val="24"/>
        </w:rPr>
        <w:t xml:space="preserve"> och på så vis </w:t>
      </w:r>
      <w:proofErr w:type="spellStart"/>
      <w:r w:rsidR="00FA09CA" w:rsidRPr="007B0ED8">
        <w:rPr>
          <w:rFonts w:ascii="Times New Roman" w:hAnsi="Times New Roman" w:cs="Courier New"/>
          <w:sz w:val="24"/>
          <w:szCs w:val="24"/>
        </w:rPr>
        <w:t>främjdes</w:t>
      </w:r>
      <w:proofErr w:type="spellEnd"/>
      <w:r w:rsidR="00FA09CA" w:rsidRPr="007B0ED8">
        <w:rPr>
          <w:rFonts w:ascii="Times New Roman" w:hAnsi="Times New Roman" w:cs="Courier New"/>
          <w:sz w:val="24"/>
          <w:szCs w:val="24"/>
        </w:rPr>
        <w:t xml:space="preserve"> paradoxalt nog </w:t>
      </w:r>
      <w:r w:rsidR="00865282" w:rsidRPr="007B0ED8">
        <w:rPr>
          <w:rFonts w:ascii="Times New Roman" w:hAnsi="Times New Roman" w:cs="Courier New"/>
          <w:sz w:val="24"/>
          <w:szCs w:val="24"/>
        </w:rPr>
        <w:t>manikeismens spridning</w:t>
      </w:r>
      <w:r w:rsidR="000E4EB6" w:rsidRPr="007B0ED8">
        <w:rPr>
          <w:rFonts w:ascii="Times New Roman" w:hAnsi="Times New Roman" w:cs="Courier New"/>
          <w:sz w:val="24"/>
          <w:szCs w:val="24"/>
        </w:rPr>
        <w:t xml:space="preserve">. </w:t>
      </w:r>
      <w:r w:rsidR="007D10D1" w:rsidRPr="007B0ED8">
        <w:rPr>
          <w:rFonts w:ascii="Times New Roman" w:hAnsi="Times New Roman" w:cs="Courier New"/>
          <w:sz w:val="24"/>
          <w:szCs w:val="24"/>
        </w:rPr>
        <w:t>Omkring år 400 fanns manikeiska församlingar i Syrien, Palestina, Arabien, Egypten och andra delar av Nordafrika, Armenien, Mindre Asien, Rom, Dalmatien, Gal</w:t>
      </w:r>
      <w:r w:rsidR="0054158D" w:rsidRPr="007B0ED8">
        <w:rPr>
          <w:rFonts w:ascii="Times New Roman" w:hAnsi="Times New Roman" w:cs="Courier New"/>
          <w:sz w:val="24"/>
          <w:szCs w:val="24"/>
        </w:rPr>
        <w:t>l</w:t>
      </w:r>
      <w:r w:rsidR="007D10D1" w:rsidRPr="007B0ED8">
        <w:rPr>
          <w:rFonts w:ascii="Times New Roman" w:hAnsi="Times New Roman" w:cs="Courier New"/>
          <w:sz w:val="24"/>
          <w:szCs w:val="24"/>
        </w:rPr>
        <w:t xml:space="preserve">ien och Spanien. Ungefär vid samma tid började emellertid </w:t>
      </w:r>
      <w:r w:rsidR="00FA09CA" w:rsidRPr="007B0ED8">
        <w:rPr>
          <w:rFonts w:ascii="Times New Roman" w:hAnsi="Times New Roman" w:cs="Courier New"/>
          <w:sz w:val="24"/>
          <w:szCs w:val="24"/>
        </w:rPr>
        <w:t xml:space="preserve">de västliga </w:t>
      </w:r>
      <w:r w:rsidR="007D10D1" w:rsidRPr="007B0ED8">
        <w:rPr>
          <w:rFonts w:ascii="Times New Roman" w:hAnsi="Times New Roman" w:cs="Courier New"/>
          <w:sz w:val="24"/>
          <w:szCs w:val="24"/>
        </w:rPr>
        <w:t>förföljelser</w:t>
      </w:r>
      <w:r w:rsidR="00FA09CA" w:rsidRPr="007B0ED8">
        <w:rPr>
          <w:rFonts w:ascii="Times New Roman" w:hAnsi="Times New Roman" w:cs="Courier New"/>
          <w:sz w:val="24"/>
          <w:szCs w:val="24"/>
        </w:rPr>
        <w:t>na</w:t>
      </w:r>
      <w:r w:rsidR="007D10D1" w:rsidRPr="007B0ED8">
        <w:rPr>
          <w:rFonts w:ascii="Times New Roman" w:hAnsi="Times New Roman" w:cs="Courier New"/>
          <w:sz w:val="24"/>
          <w:szCs w:val="24"/>
        </w:rPr>
        <w:t xml:space="preserve"> ge effekt</w:t>
      </w:r>
      <w:r w:rsidR="00FA09CA" w:rsidRPr="007B0ED8">
        <w:rPr>
          <w:rFonts w:ascii="Times New Roman" w:hAnsi="Times New Roman" w:cs="Courier New"/>
          <w:sz w:val="24"/>
          <w:szCs w:val="24"/>
        </w:rPr>
        <w:t>.</w:t>
      </w:r>
      <w:r w:rsidR="007D10D1" w:rsidRPr="007B0ED8">
        <w:rPr>
          <w:rFonts w:ascii="Times New Roman" w:hAnsi="Times New Roman" w:cs="Courier New"/>
          <w:sz w:val="24"/>
          <w:szCs w:val="24"/>
        </w:rPr>
        <w:t xml:space="preserve"> </w:t>
      </w:r>
      <w:r w:rsidR="00FA09CA" w:rsidRPr="007B0ED8">
        <w:rPr>
          <w:rFonts w:ascii="Times New Roman" w:hAnsi="Times New Roman" w:cs="Courier New"/>
          <w:sz w:val="24"/>
          <w:szCs w:val="24"/>
        </w:rPr>
        <w:t>N</w:t>
      </w:r>
      <w:r w:rsidR="007D10D1" w:rsidRPr="007B0ED8">
        <w:rPr>
          <w:rFonts w:ascii="Times New Roman" w:hAnsi="Times New Roman" w:cs="Courier New"/>
          <w:sz w:val="24"/>
          <w:szCs w:val="24"/>
        </w:rPr>
        <w:t xml:space="preserve">ågonstans här </w:t>
      </w:r>
      <w:r w:rsidR="00FA09CA" w:rsidRPr="007B0ED8">
        <w:rPr>
          <w:rFonts w:ascii="Times New Roman" w:hAnsi="Times New Roman" w:cs="Courier New"/>
          <w:sz w:val="24"/>
          <w:szCs w:val="24"/>
        </w:rPr>
        <w:t>är det som manikeismen försvi</w:t>
      </w:r>
      <w:r w:rsidR="007D10D1" w:rsidRPr="007B0ED8">
        <w:rPr>
          <w:rFonts w:ascii="Times New Roman" w:hAnsi="Times New Roman" w:cs="Courier New"/>
          <w:sz w:val="24"/>
          <w:szCs w:val="24"/>
        </w:rPr>
        <w:t>nn</w:t>
      </w:r>
      <w:r w:rsidR="00FA09CA" w:rsidRPr="007B0ED8">
        <w:rPr>
          <w:rFonts w:ascii="Times New Roman" w:hAnsi="Times New Roman" w:cs="Courier New"/>
          <w:sz w:val="24"/>
          <w:szCs w:val="24"/>
        </w:rPr>
        <w:t>er</w:t>
      </w:r>
      <w:r w:rsidR="007D10D1" w:rsidRPr="007B0ED8">
        <w:rPr>
          <w:rFonts w:ascii="Times New Roman" w:hAnsi="Times New Roman" w:cs="Courier New"/>
          <w:sz w:val="24"/>
          <w:szCs w:val="24"/>
        </w:rPr>
        <w:t xml:space="preserve"> i väst</w:t>
      </w:r>
      <w:r w:rsidR="00FA09CA" w:rsidRPr="007B0ED8">
        <w:rPr>
          <w:rFonts w:ascii="Times New Roman" w:hAnsi="Times New Roman" w:cs="Courier New"/>
          <w:sz w:val="24"/>
          <w:szCs w:val="24"/>
        </w:rPr>
        <w:t>, även om dess inverkan på olika rörelser kan skönjas ett tusental år fram i tiden.</w:t>
      </w:r>
      <w:r w:rsidR="007D10D1" w:rsidRPr="007B0ED8">
        <w:rPr>
          <w:rFonts w:ascii="Times New Roman" w:hAnsi="Times New Roman" w:cs="Courier New"/>
          <w:sz w:val="24"/>
          <w:szCs w:val="24"/>
        </w:rPr>
        <w:t xml:space="preserve"> </w:t>
      </w:r>
    </w:p>
    <w:p w:rsidR="004C6F97" w:rsidRPr="007B0ED8" w:rsidRDefault="004C6F97" w:rsidP="00DE13BC">
      <w:pPr>
        <w:rPr>
          <w:rFonts w:ascii="Times New Roman" w:hAnsi="Times New Roman" w:cs="Courier New"/>
          <w:sz w:val="24"/>
          <w:szCs w:val="24"/>
        </w:rPr>
      </w:pPr>
    </w:p>
    <w:p w:rsidR="000F453C" w:rsidRPr="007B0ED8" w:rsidRDefault="007D10D1" w:rsidP="00DE13BC">
      <w:pPr>
        <w:rPr>
          <w:rFonts w:ascii="Times New Roman" w:hAnsi="Times New Roman" w:cs="Courier New"/>
          <w:sz w:val="24"/>
          <w:szCs w:val="24"/>
        </w:rPr>
      </w:pPr>
      <w:r w:rsidRPr="007B0ED8">
        <w:rPr>
          <w:rFonts w:ascii="Times New Roman" w:hAnsi="Times New Roman" w:cs="Courier New"/>
          <w:sz w:val="24"/>
          <w:szCs w:val="24"/>
        </w:rPr>
        <w:t>I öst gyn</w:t>
      </w:r>
      <w:r w:rsidR="00793895" w:rsidRPr="007B0ED8">
        <w:rPr>
          <w:rFonts w:ascii="Times New Roman" w:hAnsi="Times New Roman" w:cs="Courier New"/>
          <w:sz w:val="24"/>
          <w:szCs w:val="24"/>
        </w:rPr>
        <w:t>n</w:t>
      </w:r>
      <w:r w:rsidRPr="007B0ED8">
        <w:rPr>
          <w:rFonts w:ascii="Times New Roman" w:hAnsi="Times New Roman" w:cs="Courier New"/>
          <w:sz w:val="24"/>
          <w:szCs w:val="24"/>
        </w:rPr>
        <w:t>ades mani</w:t>
      </w:r>
      <w:r w:rsidR="00793895" w:rsidRPr="007B0ED8">
        <w:rPr>
          <w:rFonts w:ascii="Times New Roman" w:hAnsi="Times New Roman" w:cs="Courier New"/>
          <w:sz w:val="24"/>
          <w:szCs w:val="24"/>
        </w:rPr>
        <w:t xml:space="preserve">keismen </w:t>
      </w:r>
      <w:r w:rsidRPr="007B0ED8">
        <w:rPr>
          <w:rFonts w:ascii="Times New Roman" w:hAnsi="Times New Roman" w:cs="Courier New"/>
          <w:sz w:val="24"/>
          <w:szCs w:val="24"/>
        </w:rPr>
        <w:t xml:space="preserve">genom att islam satte stopp för kristen och </w:t>
      </w:r>
      <w:proofErr w:type="spellStart"/>
      <w:r w:rsidRPr="007B0ED8">
        <w:rPr>
          <w:rFonts w:ascii="Times New Roman" w:hAnsi="Times New Roman" w:cs="Courier New"/>
          <w:sz w:val="24"/>
          <w:szCs w:val="24"/>
        </w:rPr>
        <w:t>zoroastrisk</w:t>
      </w:r>
      <w:proofErr w:type="spellEnd"/>
      <w:r w:rsidRPr="007B0ED8">
        <w:rPr>
          <w:rFonts w:ascii="Times New Roman" w:hAnsi="Times New Roman" w:cs="Courier New"/>
          <w:sz w:val="24"/>
          <w:szCs w:val="24"/>
        </w:rPr>
        <w:t xml:space="preserve"> dominans.</w:t>
      </w:r>
      <w:r w:rsidR="00D509C4" w:rsidRPr="007B0ED8">
        <w:rPr>
          <w:rFonts w:ascii="Times New Roman" w:hAnsi="Times New Roman" w:cs="Courier New"/>
          <w:sz w:val="24"/>
          <w:szCs w:val="24"/>
        </w:rPr>
        <w:t xml:space="preserve"> </w:t>
      </w:r>
      <w:r w:rsidR="000F453C" w:rsidRPr="007B0ED8">
        <w:rPr>
          <w:rFonts w:ascii="Times New Roman" w:hAnsi="Times New Roman" w:cs="Courier New"/>
          <w:sz w:val="24"/>
          <w:szCs w:val="24"/>
        </w:rPr>
        <w:t>Under 600-talet börjar mani</w:t>
      </w:r>
      <w:r w:rsidR="00793895" w:rsidRPr="007B0ED8">
        <w:rPr>
          <w:rFonts w:ascii="Times New Roman" w:hAnsi="Times New Roman" w:cs="Courier New"/>
          <w:sz w:val="24"/>
          <w:szCs w:val="24"/>
        </w:rPr>
        <w:t xml:space="preserve">keismen </w:t>
      </w:r>
      <w:r w:rsidR="000F453C" w:rsidRPr="007B0ED8">
        <w:rPr>
          <w:rFonts w:ascii="Times New Roman" w:hAnsi="Times New Roman" w:cs="Courier New"/>
          <w:sz w:val="24"/>
          <w:szCs w:val="24"/>
        </w:rPr>
        <w:t>åter komma på modet i Persien som en åskådning bland inte</w:t>
      </w:r>
      <w:r w:rsidR="008C4540" w:rsidRPr="007B0ED8">
        <w:rPr>
          <w:rFonts w:ascii="Times New Roman" w:hAnsi="Times New Roman" w:cs="Courier New"/>
          <w:sz w:val="24"/>
          <w:szCs w:val="24"/>
        </w:rPr>
        <w:t>l</w:t>
      </w:r>
      <w:r w:rsidR="000F453C" w:rsidRPr="007B0ED8">
        <w:rPr>
          <w:rFonts w:ascii="Times New Roman" w:hAnsi="Times New Roman" w:cs="Courier New"/>
          <w:sz w:val="24"/>
          <w:szCs w:val="24"/>
        </w:rPr>
        <w:t>lektuella. I Centralasien var mani</w:t>
      </w:r>
      <w:r w:rsidR="00793895" w:rsidRPr="007B0ED8">
        <w:rPr>
          <w:rFonts w:ascii="Times New Roman" w:hAnsi="Times New Roman" w:cs="Courier New"/>
          <w:sz w:val="24"/>
          <w:szCs w:val="24"/>
        </w:rPr>
        <w:t xml:space="preserve">keismen </w:t>
      </w:r>
      <w:r w:rsidR="000F453C" w:rsidRPr="007B0ED8">
        <w:rPr>
          <w:rFonts w:ascii="Times New Roman" w:hAnsi="Times New Roman" w:cs="Courier New"/>
          <w:sz w:val="24"/>
          <w:szCs w:val="24"/>
        </w:rPr>
        <w:t xml:space="preserve">livaktig ända till den mongoliska ockupationen under 1200-talet. Längs </w:t>
      </w:r>
      <w:r w:rsidR="00FA09CA" w:rsidRPr="007B0ED8">
        <w:rPr>
          <w:rFonts w:ascii="Times New Roman" w:hAnsi="Times New Roman" w:cs="Courier New"/>
          <w:sz w:val="24"/>
          <w:szCs w:val="24"/>
        </w:rPr>
        <w:t>S</w:t>
      </w:r>
      <w:r w:rsidR="000F453C" w:rsidRPr="007B0ED8">
        <w:rPr>
          <w:rFonts w:ascii="Times New Roman" w:hAnsi="Times New Roman" w:cs="Courier New"/>
          <w:sz w:val="24"/>
          <w:szCs w:val="24"/>
        </w:rPr>
        <w:t>idenvägen spreds mani</w:t>
      </w:r>
      <w:r w:rsidR="00793895" w:rsidRPr="007B0ED8">
        <w:rPr>
          <w:rFonts w:ascii="Times New Roman" w:hAnsi="Times New Roman" w:cs="Courier New"/>
          <w:sz w:val="24"/>
          <w:szCs w:val="24"/>
        </w:rPr>
        <w:t xml:space="preserve">keismen </w:t>
      </w:r>
      <w:r w:rsidR="000F453C" w:rsidRPr="007B0ED8">
        <w:rPr>
          <w:rFonts w:ascii="Times New Roman" w:hAnsi="Times New Roman" w:cs="Courier New"/>
          <w:sz w:val="24"/>
          <w:szCs w:val="24"/>
        </w:rPr>
        <w:t>österut och år 694 finner vi mani</w:t>
      </w:r>
      <w:r w:rsidR="00793895" w:rsidRPr="007B0ED8">
        <w:rPr>
          <w:rFonts w:ascii="Times New Roman" w:hAnsi="Times New Roman" w:cs="Courier New"/>
          <w:sz w:val="24"/>
          <w:szCs w:val="24"/>
        </w:rPr>
        <w:t xml:space="preserve">kéer som debatterar </w:t>
      </w:r>
      <w:r w:rsidR="000F453C" w:rsidRPr="007B0ED8">
        <w:rPr>
          <w:rFonts w:ascii="Times New Roman" w:hAnsi="Times New Roman" w:cs="Courier New"/>
          <w:sz w:val="24"/>
          <w:szCs w:val="24"/>
        </w:rPr>
        <w:t xml:space="preserve">vid det kinesiska hovet. Manikéernas framgång i Kina </w:t>
      </w:r>
      <w:r w:rsidR="00FA09CA" w:rsidRPr="007B0ED8">
        <w:rPr>
          <w:rFonts w:ascii="Times New Roman" w:hAnsi="Times New Roman" w:cs="Courier New"/>
          <w:sz w:val="24"/>
          <w:szCs w:val="24"/>
        </w:rPr>
        <w:t>sågs dock inte med blida ögon av alla. U</w:t>
      </w:r>
      <w:r w:rsidR="000F453C" w:rsidRPr="007B0ED8">
        <w:rPr>
          <w:rFonts w:ascii="Times New Roman" w:hAnsi="Times New Roman" w:cs="Courier New"/>
          <w:sz w:val="24"/>
          <w:szCs w:val="24"/>
        </w:rPr>
        <w:t xml:space="preserve">nder 843-844 </w:t>
      </w:r>
      <w:r w:rsidR="009119F3" w:rsidRPr="007B0ED8">
        <w:rPr>
          <w:rFonts w:ascii="Times New Roman" w:hAnsi="Times New Roman" w:cs="Courier New"/>
          <w:sz w:val="24"/>
          <w:szCs w:val="24"/>
        </w:rPr>
        <w:t xml:space="preserve">utstod manikéer </w:t>
      </w:r>
      <w:r w:rsidR="000F453C" w:rsidRPr="007B0ED8">
        <w:rPr>
          <w:rFonts w:ascii="Times New Roman" w:hAnsi="Times New Roman" w:cs="Courier New"/>
          <w:sz w:val="24"/>
          <w:szCs w:val="24"/>
        </w:rPr>
        <w:t>mycket blodiga förföljelser</w:t>
      </w:r>
      <w:r w:rsidR="009119F3" w:rsidRPr="007B0ED8">
        <w:rPr>
          <w:rFonts w:ascii="Times New Roman" w:hAnsi="Times New Roman" w:cs="Courier New"/>
          <w:sz w:val="24"/>
          <w:szCs w:val="24"/>
        </w:rPr>
        <w:t>.</w:t>
      </w:r>
      <w:r w:rsidR="000F453C" w:rsidRPr="007B0ED8">
        <w:rPr>
          <w:rFonts w:ascii="Times New Roman" w:hAnsi="Times New Roman" w:cs="Courier New"/>
          <w:sz w:val="24"/>
          <w:szCs w:val="24"/>
        </w:rPr>
        <w:t xml:space="preserve"> </w:t>
      </w:r>
      <w:r w:rsidR="009119F3" w:rsidRPr="007B0ED8">
        <w:rPr>
          <w:rFonts w:ascii="Times New Roman" w:hAnsi="Times New Roman" w:cs="Courier New"/>
          <w:sz w:val="24"/>
          <w:szCs w:val="24"/>
        </w:rPr>
        <w:t xml:space="preserve">Detta ledde emellertid inte till att religionen gick under. Så sent som under 1300-talet </w:t>
      </w:r>
      <w:r w:rsidR="000F453C" w:rsidRPr="007B0ED8">
        <w:rPr>
          <w:rFonts w:ascii="Times New Roman" w:hAnsi="Times New Roman" w:cs="Courier New"/>
          <w:sz w:val="24"/>
          <w:szCs w:val="24"/>
        </w:rPr>
        <w:t xml:space="preserve">såg sig </w:t>
      </w:r>
      <w:r w:rsidR="005E77D2" w:rsidRPr="007B0ED8">
        <w:rPr>
          <w:rFonts w:ascii="Times New Roman" w:hAnsi="Times New Roman" w:cs="Courier New"/>
          <w:sz w:val="24"/>
          <w:szCs w:val="24"/>
        </w:rPr>
        <w:t>Mi</w:t>
      </w:r>
      <w:r w:rsidR="000F453C" w:rsidRPr="007B0ED8">
        <w:rPr>
          <w:rFonts w:ascii="Times New Roman" w:hAnsi="Times New Roman" w:cs="Courier New"/>
          <w:sz w:val="24"/>
          <w:szCs w:val="24"/>
        </w:rPr>
        <w:t>ngdynastin</w:t>
      </w:r>
      <w:r w:rsidR="005E77D2" w:rsidRPr="007B0ED8">
        <w:rPr>
          <w:rFonts w:ascii="Times New Roman" w:hAnsi="Times New Roman" w:cs="Courier New"/>
          <w:sz w:val="24"/>
          <w:szCs w:val="24"/>
        </w:rPr>
        <w:t xml:space="preserve"> manad att förfölja manikéerna. </w:t>
      </w:r>
      <w:r w:rsidR="009119F3" w:rsidRPr="007B0ED8">
        <w:rPr>
          <w:rFonts w:ascii="Times New Roman" w:hAnsi="Times New Roman" w:cs="Courier New"/>
          <w:sz w:val="24"/>
          <w:szCs w:val="24"/>
        </w:rPr>
        <w:t>Men inte heller nu försvinner manikeismen helt. Även under 1600-talet rapporterar p</w:t>
      </w:r>
      <w:r w:rsidR="005E77D2" w:rsidRPr="007B0ED8">
        <w:rPr>
          <w:rFonts w:ascii="Times New Roman" w:hAnsi="Times New Roman" w:cs="Courier New"/>
          <w:sz w:val="24"/>
          <w:szCs w:val="24"/>
        </w:rPr>
        <w:t>ortugiser om manikéer i Kina.</w:t>
      </w:r>
      <w:r w:rsidR="00DC4F04" w:rsidRPr="007B0ED8">
        <w:rPr>
          <w:rFonts w:ascii="Times New Roman" w:hAnsi="Times New Roman" w:cs="Courier New"/>
          <w:sz w:val="24"/>
          <w:szCs w:val="24"/>
        </w:rPr>
        <w:t xml:space="preserve"> </w:t>
      </w:r>
      <w:r w:rsidR="00793895" w:rsidRPr="007B0ED8">
        <w:rPr>
          <w:rFonts w:ascii="Times New Roman" w:hAnsi="Times New Roman" w:cs="Courier New"/>
          <w:sz w:val="24"/>
          <w:szCs w:val="24"/>
        </w:rPr>
        <w:t xml:space="preserve"> </w:t>
      </w:r>
    </w:p>
    <w:p w:rsidR="0043007B" w:rsidRPr="007B0ED8" w:rsidRDefault="0043007B" w:rsidP="00DE13BC">
      <w:pPr>
        <w:rPr>
          <w:rFonts w:ascii="Times New Roman" w:hAnsi="Times New Roman" w:cs="Courier New"/>
          <w:sz w:val="24"/>
        </w:rPr>
      </w:pPr>
    </w:p>
    <w:p w:rsidR="0043007B" w:rsidRPr="007B0ED8" w:rsidRDefault="00DC4F04" w:rsidP="0043007B">
      <w:pPr>
        <w:pStyle w:val="Rubrik3"/>
        <w:rPr>
          <w:rFonts w:ascii="Times New Roman" w:hAnsi="Times New Roman"/>
          <w:sz w:val="24"/>
        </w:rPr>
      </w:pPr>
      <w:r w:rsidRPr="007B0ED8">
        <w:rPr>
          <w:rFonts w:ascii="Times New Roman" w:hAnsi="Times New Roman"/>
          <w:sz w:val="24"/>
        </w:rPr>
        <w:t xml:space="preserve">Perspektivval </w:t>
      </w:r>
    </w:p>
    <w:p w:rsidR="009B591C" w:rsidRPr="007B0ED8" w:rsidRDefault="00CD338C" w:rsidP="00DC4F04">
      <w:pPr>
        <w:rPr>
          <w:rFonts w:ascii="Times New Roman" w:hAnsi="Times New Roman" w:cs="Courier New"/>
          <w:sz w:val="24"/>
          <w:szCs w:val="24"/>
        </w:rPr>
      </w:pPr>
      <w:r w:rsidRPr="007B0ED8">
        <w:rPr>
          <w:rFonts w:ascii="Times New Roman" w:hAnsi="Times New Roman" w:cs="Courier New"/>
          <w:sz w:val="24"/>
          <w:szCs w:val="24"/>
        </w:rPr>
        <w:t>När vi nu närmar oss M</w:t>
      </w:r>
      <w:r w:rsidR="00782BD4" w:rsidRPr="007B0ED8">
        <w:rPr>
          <w:rFonts w:ascii="Times New Roman" w:hAnsi="Times New Roman" w:cs="Courier New"/>
          <w:sz w:val="24"/>
          <w:szCs w:val="24"/>
        </w:rPr>
        <w:t>anis och hans efterföljares lära är det på sin plats att vi undviker några fallgropar.</w:t>
      </w:r>
      <w:r w:rsidR="001E15F1" w:rsidRPr="007B0ED8">
        <w:rPr>
          <w:rFonts w:ascii="Times New Roman" w:hAnsi="Times New Roman" w:cs="Courier New"/>
          <w:sz w:val="24"/>
          <w:szCs w:val="24"/>
        </w:rPr>
        <w:t xml:space="preserve"> </w:t>
      </w:r>
      <w:r w:rsidR="000D3888" w:rsidRPr="007B0ED8">
        <w:rPr>
          <w:rFonts w:ascii="Times New Roman" w:hAnsi="Times New Roman" w:cs="Courier New"/>
          <w:sz w:val="24"/>
          <w:szCs w:val="24"/>
        </w:rPr>
        <w:t>I de kristet ortodoxa angrep</w:t>
      </w:r>
      <w:r w:rsidR="00555D3E" w:rsidRPr="007B0ED8">
        <w:rPr>
          <w:rFonts w:ascii="Times New Roman" w:hAnsi="Times New Roman" w:cs="Courier New"/>
          <w:sz w:val="24"/>
          <w:szCs w:val="24"/>
        </w:rPr>
        <w:t>p</w:t>
      </w:r>
      <w:r w:rsidR="000D3888" w:rsidRPr="007B0ED8">
        <w:rPr>
          <w:rFonts w:ascii="Times New Roman" w:hAnsi="Times New Roman" w:cs="Courier New"/>
          <w:sz w:val="24"/>
          <w:szCs w:val="24"/>
        </w:rPr>
        <w:t xml:space="preserve">en på Mani och hans efterföljare beskrivs manikeismen gärna som iransk och främmande. Det är helt naturligt då de katolska kristendomsformerna under 300-talet blev statsbärande. </w:t>
      </w:r>
      <w:proofErr w:type="spellStart"/>
      <w:r w:rsidR="000D3888" w:rsidRPr="007B0ED8">
        <w:rPr>
          <w:rFonts w:ascii="Times New Roman" w:hAnsi="Times New Roman" w:cs="Courier New"/>
          <w:sz w:val="24"/>
          <w:szCs w:val="24"/>
        </w:rPr>
        <w:t>Shapur</w:t>
      </w:r>
      <w:proofErr w:type="spellEnd"/>
      <w:r w:rsidR="000D3888" w:rsidRPr="007B0ED8">
        <w:rPr>
          <w:rFonts w:ascii="Times New Roman" w:hAnsi="Times New Roman" w:cs="Courier New"/>
          <w:sz w:val="24"/>
          <w:szCs w:val="24"/>
        </w:rPr>
        <w:t xml:space="preserve"> I och </w:t>
      </w:r>
      <w:proofErr w:type="spellStart"/>
      <w:r w:rsidR="000D3888" w:rsidRPr="007B0ED8">
        <w:rPr>
          <w:rFonts w:ascii="Times New Roman" w:hAnsi="Times New Roman" w:cs="Courier New"/>
          <w:sz w:val="24"/>
          <w:szCs w:val="24"/>
        </w:rPr>
        <w:t>kejsar</w:t>
      </w:r>
      <w:proofErr w:type="spellEnd"/>
      <w:r w:rsidR="000D3888" w:rsidRPr="007B0ED8">
        <w:rPr>
          <w:rFonts w:ascii="Times New Roman" w:hAnsi="Times New Roman" w:cs="Courier New"/>
          <w:sz w:val="24"/>
          <w:szCs w:val="24"/>
        </w:rPr>
        <w:t xml:space="preserve"> Konstantin verkar således ha resonerat på mycket likartat sätt gäl</w:t>
      </w:r>
      <w:r w:rsidR="00F77916" w:rsidRPr="007B0ED8">
        <w:rPr>
          <w:rFonts w:ascii="Times New Roman" w:hAnsi="Times New Roman" w:cs="Courier New"/>
          <w:sz w:val="24"/>
          <w:szCs w:val="24"/>
        </w:rPr>
        <w:t>l</w:t>
      </w:r>
      <w:r w:rsidR="000D3888" w:rsidRPr="007B0ED8">
        <w:rPr>
          <w:rFonts w:ascii="Times New Roman" w:hAnsi="Times New Roman" w:cs="Courier New"/>
          <w:sz w:val="24"/>
          <w:szCs w:val="24"/>
        </w:rPr>
        <w:t>ande kato</w:t>
      </w:r>
      <w:r w:rsidR="00F77916" w:rsidRPr="007B0ED8">
        <w:rPr>
          <w:rFonts w:ascii="Times New Roman" w:hAnsi="Times New Roman" w:cs="Courier New"/>
          <w:sz w:val="24"/>
          <w:szCs w:val="24"/>
        </w:rPr>
        <w:t>l</w:t>
      </w:r>
      <w:r w:rsidR="000D3888" w:rsidRPr="007B0ED8">
        <w:rPr>
          <w:rFonts w:ascii="Times New Roman" w:hAnsi="Times New Roman" w:cs="Courier New"/>
          <w:sz w:val="24"/>
          <w:szCs w:val="24"/>
        </w:rPr>
        <w:t>sk kristendom respektive manikeisk religion.</w:t>
      </w:r>
      <w:r w:rsidR="003820F2" w:rsidRPr="007B0ED8">
        <w:rPr>
          <w:rStyle w:val="Fotnotsreferens"/>
          <w:rFonts w:ascii="Times New Roman" w:hAnsi="Times New Roman" w:cs="Courier New"/>
          <w:sz w:val="24"/>
          <w:szCs w:val="24"/>
        </w:rPr>
        <w:footnoteReference w:id="17"/>
      </w:r>
      <w:r w:rsidR="00F77916" w:rsidRPr="007B0ED8">
        <w:rPr>
          <w:rFonts w:ascii="Times New Roman" w:hAnsi="Times New Roman" w:cs="Courier New"/>
          <w:sz w:val="24"/>
          <w:szCs w:val="24"/>
        </w:rPr>
        <w:t xml:space="preserve"> </w:t>
      </w:r>
      <w:r w:rsidR="001E15F1" w:rsidRPr="007B0ED8">
        <w:rPr>
          <w:rFonts w:ascii="Times New Roman" w:hAnsi="Times New Roman" w:cs="Courier New"/>
          <w:sz w:val="24"/>
          <w:szCs w:val="24"/>
        </w:rPr>
        <w:t xml:space="preserve">Men det är också högst troligt att de västliga apologeterna från de fjärde och femte </w:t>
      </w:r>
      <w:r w:rsidR="001E15F1" w:rsidRPr="007B0ED8">
        <w:rPr>
          <w:rFonts w:ascii="Times New Roman" w:hAnsi="Times New Roman" w:cs="Courier New"/>
          <w:sz w:val="24"/>
          <w:szCs w:val="24"/>
        </w:rPr>
        <w:lastRenderedPageBreak/>
        <w:t>århundradena skulle chockerats av de kristendomsformer som fanns i 200-talets Mesopotamien</w:t>
      </w:r>
      <w:r w:rsidR="00F57645" w:rsidRPr="007B0ED8">
        <w:rPr>
          <w:rFonts w:ascii="Times New Roman" w:hAnsi="Times New Roman" w:cs="Courier New"/>
          <w:sz w:val="24"/>
          <w:szCs w:val="24"/>
        </w:rPr>
        <w:t xml:space="preserve">, oavsett om vi här inkluderar manikeism eller </w:t>
      </w:r>
      <w:proofErr w:type="gramStart"/>
      <w:r w:rsidR="00F57645" w:rsidRPr="007B0ED8">
        <w:rPr>
          <w:rFonts w:ascii="Times New Roman" w:hAnsi="Times New Roman" w:cs="Courier New"/>
          <w:sz w:val="24"/>
          <w:szCs w:val="24"/>
        </w:rPr>
        <w:t>ej</w:t>
      </w:r>
      <w:proofErr w:type="gramEnd"/>
      <w:r w:rsidR="001E15F1" w:rsidRPr="007B0ED8">
        <w:rPr>
          <w:rFonts w:ascii="Times New Roman" w:hAnsi="Times New Roman" w:cs="Courier New"/>
          <w:sz w:val="24"/>
          <w:szCs w:val="24"/>
        </w:rPr>
        <w:t>.</w:t>
      </w:r>
      <w:r w:rsidR="006F5119" w:rsidRPr="007B0ED8">
        <w:rPr>
          <w:rFonts w:ascii="Times New Roman" w:hAnsi="Times New Roman" w:cs="Courier New"/>
          <w:sz w:val="24"/>
          <w:szCs w:val="24"/>
        </w:rPr>
        <w:t xml:space="preserve"> </w:t>
      </w:r>
    </w:p>
    <w:p w:rsidR="008F1C8C" w:rsidRPr="007B0ED8" w:rsidRDefault="008F1C8C" w:rsidP="00DC4F04">
      <w:pPr>
        <w:rPr>
          <w:rFonts w:ascii="Times New Roman" w:hAnsi="Times New Roman" w:cs="Courier New"/>
          <w:sz w:val="24"/>
          <w:szCs w:val="24"/>
        </w:rPr>
      </w:pPr>
    </w:p>
    <w:p w:rsidR="008652EB" w:rsidRPr="007B0ED8" w:rsidRDefault="00555D3E" w:rsidP="00DC4F04">
      <w:pPr>
        <w:rPr>
          <w:rFonts w:ascii="Times New Roman" w:hAnsi="Times New Roman" w:cs="Courier New"/>
          <w:sz w:val="24"/>
          <w:szCs w:val="24"/>
        </w:rPr>
      </w:pPr>
      <w:r w:rsidRPr="007B0ED8">
        <w:rPr>
          <w:rFonts w:ascii="Times New Roman" w:hAnsi="Times New Roman" w:cs="Courier New"/>
          <w:sz w:val="24"/>
          <w:szCs w:val="24"/>
        </w:rPr>
        <w:t>Kristendomen har i likhet med alla andra religioner antagit olika former beroende på de olika kontexter i vilka de</w:t>
      </w:r>
      <w:r w:rsidR="00187182" w:rsidRPr="007B0ED8">
        <w:rPr>
          <w:rFonts w:ascii="Times New Roman" w:hAnsi="Times New Roman" w:cs="Courier New"/>
          <w:sz w:val="24"/>
          <w:szCs w:val="24"/>
        </w:rPr>
        <w:t xml:space="preserve"> utövats. </w:t>
      </w:r>
      <w:r w:rsidR="006F5119" w:rsidRPr="007B0ED8">
        <w:rPr>
          <w:rFonts w:ascii="Times New Roman" w:hAnsi="Times New Roman" w:cs="Courier New"/>
          <w:sz w:val="24"/>
          <w:szCs w:val="24"/>
        </w:rPr>
        <w:t>Som relig</w:t>
      </w:r>
      <w:r w:rsidRPr="007B0ED8">
        <w:rPr>
          <w:rFonts w:ascii="Times New Roman" w:hAnsi="Times New Roman" w:cs="Courier New"/>
          <w:sz w:val="24"/>
          <w:szCs w:val="24"/>
        </w:rPr>
        <w:t>i</w:t>
      </w:r>
      <w:r w:rsidR="006F5119" w:rsidRPr="007B0ED8">
        <w:rPr>
          <w:rFonts w:ascii="Times New Roman" w:hAnsi="Times New Roman" w:cs="Courier New"/>
          <w:sz w:val="24"/>
          <w:szCs w:val="24"/>
        </w:rPr>
        <w:t xml:space="preserve">onshistoriker </w:t>
      </w:r>
      <w:r w:rsidR="00187182" w:rsidRPr="007B0ED8">
        <w:rPr>
          <w:rFonts w:ascii="Times New Roman" w:hAnsi="Times New Roman" w:cs="Courier New"/>
          <w:sz w:val="24"/>
          <w:szCs w:val="24"/>
        </w:rPr>
        <w:t xml:space="preserve">är vi väl medvetna om detta, men </w:t>
      </w:r>
      <w:r w:rsidR="006F5119" w:rsidRPr="007B0ED8">
        <w:rPr>
          <w:rFonts w:ascii="Times New Roman" w:hAnsi="Times New Roman" w:cs="Courier New"/>
          <w:sz w:val="24"/>
          <w:szCs w:val="24"/>
        </w:rPr>
        <w:t xml:space="preserve">kristendomens </w:t>
      </w:r>
      <w:r w:rsidR="00187182" w:rsidRPr="007B0ED8">
        <w:rPr>
          <w:rFonts w:ascii="Times New Roman" w:hAnsi="Times New Roman" w:cs="Courier New"/>
          <w:sz w:val="24"/>
          <w:szCs w:val="24"/>
        </w:rPr>
        <w:t>”</w:t>
      </w:r>
      <w:r w:rsidR="006F5119" w:rsidRPr="007B0ED8">
        <w:rPr>
          <w:rFonts w:ascii="Times New Roman" w:hAnsi="Times New Roman" w:cs="Courier New"/>
          <w:sz w:val="24"/>
          <w:szCs w:val="24"/>
        </w:rPr>
        <w:t>stora berättelse</w:t>
      </w:r>
      <w:r w:rsidR="00187182" w:rsidRPr="007B0ED8">
        <w:rPr>
          <w:rFonts w:ascii="Times New Roman" w:hAnsi="Times New Roman" w:cs="Courier New"/>
          <w:sz w:val="24"/>
          <w:szCs w:val="24"/>
        </w:rPr>
        <w:t>” är så stark att vi måste ta oss i akt och inte se den mångfald som rådde i Mesopotamien som avvikelse</w:t>
      </w:r>
      <w:r w:rsidR="00335697" w:rsidRPr="007B0ED8">
        <w:rPr>
          <w:rFonts w:ascii="Times New Roman" w:hAnsi="Times New Roman" w:cs="Courier New"/>
          <w:sz w:val="24"/>
          <w:szCs w:val="24"/>
        </w:rPr>
        <w:t>r</w:t>
      </w:r>
      <w:r w:rsidR="00187182" w:rsidRPr="007B0ED8">
        <w:rPr>
          <w:rFonts w:ascii="Times New Roman" w:hAnsi="Times New Roman" w:cs="Courier New"/>
          <w:sz w:val="24"/>
          <w:szCs w:val="24"/>
        </w:rPr>
        <w:t>.</w:t>
      </w:r>
      <w:r w:rsidR="006F5119" w:rsidRPr="007B0ED8">
        <w:rPr>
          <w:rFonts w:ascii="Times New Roman" w:hAnsi="Times New Roman" w:cs="Courier New"/>
          <w:sz w:val="24"/>
          <w:szCs w:val="24"/>
        </w:rPr>
        <w:t xml:space="preserve"> </w:t>
      </w:r>
      <w:r w:rsidR="00335697" w:rsidRPr="007B0ED8">
        <w:rPr>
          <w:rFonts w:ascii="Times New Roman" w:hAnsi="Times New Roman" w:cs="Courier New"/>
          <w:sz w:val="24"/>
          <w:szCs w:val="24"/>
        </w:rPr>
        <w:t>”Den stora b</w:t>
      </w:r>
      <w:r w:rsidR="006F5119" w:rsidRPr="007B0ED8">
        <w:rPr>
          <w:rFonts w:ascii="Times New Roman" w:hAnsi="Times New Roman" w:cs="Courier New"/>
          <w:sz w:val="24"/>
          <w:szCs w:val="24"/>
        </w:rPr>
        <w:t>erättelsen</w:t>
      </w:r>
      <w:r w:rsidR="00335697" w:rsidRPr="007B0ED8">
        <w:rPr>
          <w:rFonts w:ascii="Times New Roman" w:hAnsi="Times New Roman" w:cs="Courier New"/>
          <w:sz w:val="24"/>
          <w:szCs w:val="24"/>
        </w:rPr>
        <w:t>”</w:t>
      </w:r>
      <w:r w:rsidR="006F5119" w:rsidRPr="007B0ED8">
        <w:rPr>
          <w:rFonts w:ascii="Times New Roman" w:hAnsi="Times New Roman" w:cs="Courier New"/>
          <w:sz w:val="24"/>
          <w:szCs w:val="24"/>
        </w:rPr>
        <w:t xml:space="preserve"> ifråga kan lyda ungefär så här: Jesus var guds son och en perfekt människa. Han förmedlade sitt budskap till sina apostlar som sedan förde det vidare till de kyrkofäder som formulerade det i kyrkans trosbekännelser. Enligt denna berättelse är avvikelserna som kyrkofäderna framgångsrikt ska ha bekämpat avsteg från den ”autentiska” kristendomen. Att denna berättelse inte står sig för en religionshistorisk granskning har sedan länge varit känt.</w:t>
      </w:r>
      <w:r w:rsidR="005C4D70" w:rsidRPr="007B0ED8">
        <w:rPr>
          <w:rStyle w:val="Fotnotsreferens"/>
          <w:rFonts w:ascii="Times New Roman" w:hAnsi="Times New Roman" w:cs="Courier New"/>
          <w:sz w:val="24"/>
          <w:szCs w:val="24"/>
        </w:rPr>
        <w:footnoteReference w:id="18"/>
      </w:r>
      <w:r w:rsidR="006F5119" w:rsidRPr="007B0ED8">
        <w:rPr>
          <w:rFonts w:ascii="Times New Roman" w:hAnsi="Times New Roman" w:cs="Courier New"/>
          <w:sz w:val="24"/>
          <w:szCs w:val="24"/>
        </w:rPr>
        <w:t xml:space="preserve"> </w:t>
      </w:r>
      <w:r w:rsidR="005C4D70" w:rsidRPr="007B0ED8">
        <w:rPr>
          <w:rFonts w:ascii="Times New Roman" w:hAnsi="Times New Roman" w:cs="Courier New"/>
          <w:sz w:val="24"/>
          <w:szCs w:val="24"/>
        </w:rPr>
        <w:t>Men trots det är det lätt hänt att se</w:t>
      </w:r>
      <w:r w:rsidR="007B37D2" w:rsidRPr="007B0ED8">
        <w:rPr>
          <w:rFonts w:ascii="Times New Roman" w:hAnsi="Times New Roman" w:cs="Courier New"/>
          <w:sz w:val="24"/>
          <w:szCs w:val="24"/>
        </w:rPr>
        <w:t xml:space="preserve"> de religionsformer som kättarstämplats av kyrkofäderna som avvikelser. A</w:t>
      </w:r>
      <w:r w:rsidR="00596869" w:rsidRPr="007B0ED8">
        <w:rPr>
          <w:rFonts w:ascii="Times New Roman" w:hAnsi="Times New Roman" w:cs="Courier New"/>
          <w:sz w:val="24"/>
          <w:szCs w:val="24"/>
        </w:rPr>
        <w:t>t</w:t>
      </w:r>
      <w:r w:rsidR="007B37D2" w:rsidRPr="007B0ED8">
        <w:rPr>
          <w:rFonts w:ascii="Times New Roman" w:hAnsi="Times New Roman" w:cs="Courier New"/>
          <w:sz w:val="24"/>
          <w:szCs w:val="24"/>
        </w:rPr>
        <w:t xml:space="preserve">t se manikeismen som en form av </w:t>
      </w:r>
      <w:proofErr w:type="spellStart"/>
      <w:r w:rsidR="007B37D2" w:rsidRPr="007B0ED8">
        <w:rPr>
          <w:rFonts w:ascii="Times New Roman" w:hAnsi="Times New Roman" w:cs="Courier New"/>
          <w:sz w:val="24"/>
          <w:szCs w:val="24"/>
        </w:rPr>
        <w:t>zoroastrism</w:t>
      </w:r>
      <w:proofErr w:type="spellEnd"/>
      <w:r w:rsidR="007B37D2" w:rsidRPr="007B0ED8">
        <w:rPr>
          <w:rFonts w:ascii="Times New Roman" w:hAnsi="Times New Roman" w:cs="Courier New"/>
          <w:sz w:val="24"/>
          <w:szCs w:val="24"/>
        </w:rPr>
        <w:t xml:space="preserve"> vore således att </w:t>
      </w:r>
      <w:r w:rsidR="00596869" w:rsidRPr="007B0ED8">
        <w:rPr>
          <w:rFonts w:ascii="Times New Roman" w:hAnsi="Times New Roman" w:cs="Courier New"/>
          <w:sz w:val="24"/>
          <w:szCs w:val="24"/>
        </w:rPr>
        <w:t>falla in i den diskurs där de iranska inslagen skulle skymma manikeismens starkt judekristna grund.</w:t>
      </w:r>
      <w:r w:rsidR="000F6B2F" w:rsidRPr="007B0ED8">
        <w:rPr>
          <w:rFonts w:ascii="Times New Roman" w:hAnsi="Times New Roman" w:cs="Courier New"/>
          <w:sz w:val="24"/>
          <w:szCs w:val="24"/>
        </w:rPr>
        <w:t xml:space="preserve"> </w:t>
      </w:r>
    </w:p>
    <w:p w:rsidR="002D60B0" w:rsidRPr="007B0ED8" w:rsidRDefault="002D60B0" w:rsidP="00DC4F04">
      <w:pPr>
        <w:rPr>
          <w:rFonts w:ascii="Times New Roman" w:hAnsi="Times New Roman" w:cs="Courier New"/>
          <w:sz w:val="24"/>
          <w:szCs w:val="24"/>
        </w:rPr>
      </w:pPr>
    </w:p>
    <w:p w:rsidR="004247D5" w:rsidRPr="007B0ED8" w:rsidRDefault="000F6B2F" w:rsidP="00DC4F04">
      <w:pPr>
        <w:rPr>
          <w:rFonts w:ascii="Times New Roman" w:hAnsi="Times New Roman" w:cs="Courier New"/>
          <w:sz w:val="24"/>
          <w:szCs w:val="24"/>
        </w:rPr>
      </w:pPr>
      <w:r w:rsidRPr="007B0ED8">
        <w:rPr>
          <w:rFonts w:ascii="Times New Roman" w:hAnsi="Times New Roman" w:cs="Courier New"/>
          <w:sz w:val="24"/>
          <w:szCs w:val="24"/>
        </w:rPr>
        <w:t xml:space="preserve">En annan diskurs som lätt spiller över på synen på manikeism är den om begreppet gnosticism. Forskare som inte är specialister på antik gnosticism har fortfarande svårt att se de kristet gnostiska texterna från </w:t>
      </w:r>
      <w:proofErr w:type="gramStart"/>
      <w:r w:rsidRPr="007B0ED8">
        <w:rPr>
          <w:rFonts w:ascii="Times New Roman" w:hAnsi="Times New Roman" w:cs="Courier New"/>
          <w:sz w:val="24"/>
          <w:szCs w:val="24"/>
        </w:rPr>
        <w:t>100-300</w:t>
      </w:r>
      <w:proofErr w:type="gramEnd"/>
      <w:r w:rsidRPr="007B0ED8">
        <w:rPr>
          <w:rFonts w:ascii="Times New Roman" w:hAnsi="Times New Roman" w:cs="Courier New"/>
          <w:sz w:val="24"/>
          <w:szCs w:val="24"/>
        </w:rPr>
        <w:t xml:space="preserve">-talen som kristna uttrycksformer. På så vis deltar man i </w:t>
      </w:r>
      <w:r w:rsidR="00E909DD" w:rsidRPr="007B0ED8">
        <w:rPr>
          <w:rFonts w:ascii="Times New Roman" w:hAnsi="Times New Roman" w:cs="Courier New"/>
          <w:sz w:val="24"/>
          <w:szCs w:val="24"/>
        </w:rPr>
        <w:t xml:space="preserve">vidmakthållandet </w:t>
      </w:r>
      <w:r w:rsidRPr="007B0ED8">
        <w:rPr>
          <w:rFonts w:ascii="Times New Roman" w:hAnsi="Times New Roman" w:cs="Courier New"/>
          <w:sz w:val="24"/>
          <w:szCs w:val="24"/>
        </w:rPr>
        <w:t>av den stora berättelsen</w:t>
      </w:r>
      <w:r w:rsidR="00E909DD" w:rsidRPr="007B0ED8">
        <w:rPr>
          <w:rFonts w:ascii="Times New Roman" w:hAnsi="Times New Roman" w:cs="Courier New"/>
          <w:sz w:val="24"/>
          <w:szCs w:val="24"/>
        </w:rPr>
        <w:t xml:space="preserve"> där gnosticism får stå som en samlingsbeteckning för en grupp ”kätterier”</w:t>
      </w:r>
      <w:r w:rsidRPr="007B0ED8">
        <w:rPr>
          <w:rFonts w:ascii="Times New Roman" w:hAnsi="Times New Roman" w:cs="Courier New"/>
          <w:sz w:val="24"/>
          <w:szCs w:val="24"/>
        </w:rPr>
        <w:t xml:space="preserve">. Det har </w:t>
      </w:r>
      <w:r w:rsidR="00D86070" w:rsidRPr="007B0ED8">
        <w:rPr>
          <w:rFonts w:ascii="Times New Roman" w:hAnsi="Times New Roman" w:cs="Courier New"/>
          <w:sz w:val="24"/>
          <w:szCs w:val="24"/>
        </w:rPr>
        <w:t xml:space="preserve">till och med </w:t>
      </w:r>
      <w:r w:rsidRPr="007B0ED8">
        <w:rPr>
          <w:rFonts w:ascii="Times New Roman" w:hAnsi="Times New Roman" w:cs="Courier New"/>
          <w:sz w:val="24"/>
          <w:szCs w:val="24"/>
        </w:rPr>
        <w:t xml:space="preserve">gjorts gällande att </w:t>
      </w:r>
      <w:r w:rsidR="00D86070" w:rsidRPr="007B0ED8">
        <w:rPr>
          <w:rFonts w:ascii="Times New Roman" w:hAnsi="Times New Roman" w:cs="Courier New"/>
          <w:sz w:val="24"/>
          <w:szCs w:val="24"/>
        </w:rPr>
        <w:t>termen gnosticism är så starkt pejorativt kontaminerad att den måste ersättas av en annan term</w:t>
      </w:r>
      <w:r w:rsidR="00490108" w:rsidRPr="007B0ED8">
        <w:rPr>
          <w:rFonts w:ascii="Times New Roman" w:hAnsi="Times New Roman" w:cs="Courier New"/>
          <w:sz w:val="24"/>
          <w:szCs w:val="24"/>
        </w:rPr>
        <w:t xml:space="preserve"> som är konstruerad </w:t>
      </w:r>
      <w:r w:rsidR="00F57645" w:rsidRPr="007B0ED8">
        <w:rPr>
          <w:rFonts w:ascii="Times New Roman" w:hAnsi="Times New Roman" w:cs="Courier New"/>
          <w:sz w:val="24"/>
          <w:szCs w:val="24"/>
        </w:rPr>
        <w:t xml:space="preserve">på så vis </w:t>
      </w:r>
      <w:r w:rsidR="00490108" w:rsidRPr="007B0ED8">
        <w:rPr>
          <w:rFonts w:ascii="Times New Roman" w:hAnsi="Times New Roman" w:cs="Courier New"/>
          <w:sz w:val="24"/>
          <w:szCs w:val="24"/>
        </w:rPr>
        <w:t>att den inte kan knytas till antika apologetiska diskurser utan ha en strikt analytisk funktion</w:t>
      </w:r>
      <w:r w:rsidR="00D86070" w:rsidRPr="007B0ED8">
        <w:rPr>
          <w:rFonts w:ascii="Times New Roman" w:hAnsi="Times New Roman" w:cs="Courier New"/>
          <w:sz w:val="24"/>
          <w:szCs w:val="24"/>
        </w:rPr>
        <w:t>.</w:t>
      </w:r>
      <w:r w:rsidR="00D86070" w:rsidRPr="007B0ED8">
        <w:rPr>
          <w:rStyle w:val="Fotnotsreferens"/>
          <w:rFonts w:ascii="Times New Roman" w:hAnsi="Times New Roman" w:cs="Courier New"/>
          <w:sz w:val="24"/>
          <w:szCs w:val="24"/>
        </w:rPr>
        <w:footnoteReference w:id="19"/>
      </w:r>
      <w:r w:rsidR="00523275" w:rsidRPr="007B0ED8">
        <w:rPr>
          <w:rFonts w:ascii="Times New Roman" w:hAnsi="Times New Roman" w:cs="Courier New"/>
          <w:sz w:val="24"/>
          <w:szCs w:val="24"/>
        </w:rPr>
        <w:t xml:space="preserve"> Andra forskare har gått längre och helt enkelt velat använda termen kristen för de texter som tidigare kallats gnostiska.</w:t>
      </w:r>
      <w:r w:rsidR="00523275" w:rsidRPr="007B0ED8">
        <w:rPr>
          <w:rStyle w:val="Fotnotsreferens"/>
          <w:rFonts w:ascii="Times New Roman" w:hAnsi="Times New Roman" w:cs="Courier New"/>
          <w:sz w:val="24"/>
          <w:szCs w:val="24"/>
        </w:rPr>
        <w:footnoteReference w:id="20"/>
      </w:r>
      <w:r w:rsidR="00D859EA" w:rsidRPr="007B0ED8">
        <w:rPr>
          <w:rFonts w:ascii="Times New Roman" w:hAnsi="Times New Roman" w:cs="Courier New"/>
          <w:sz w:val="24"/>
          <w:szCs w:val="24"/>
        </w:rPr>
        <w:t xml:space="preserve"> </w:t>
      </w:r>
    </w:p>
    <w:p w:rsidR="008C33BD" w:rsidRPr="007B0ED8" w:rsidRDefault="008C33BD" w:rsidP="00DC4F04">
      <w:pPr>
        <w:rPr>
          <w:rFonts w:ascii="Times New Roman" w:hAnsi="Times New Roman" w:cs="Courier New"/>
          <w:sz w:val="24"/>
          <w:szCs w:val="24"/>
        </w:rPr>
      </w:pPr>
    </w:p>
    <w:p w:rsidR="00DF694E" w:rsidRPr="007B0ED8" w:rsidRDefault="00D859EA" w:rsidP="00DC4F04">
      <w:pPr>
        <w:rPr>
          <w:rFonts w:ascii="Times New Roman" w:hAnsi="Times New Roman" w:cs="Courier New"/>
          <w:sz w:val="24"/>
          <w:szCs w:val="24"/>
        </w:rPr>
      </w:pPr>
      <w:r w:rsidRPr="007B0ED8">
        <w:rPr>
          <w:rFonts w:ascii="Times New Roman" w:hAnsi="Times New Roman" w:cs="Courier New"/>
          <w:sz w:val="24"/>
          <w:szCs w:val="24"/>
        </w:rPr>
        <w:t xml:space="preserve">Att diskussionen så starkt har knutits till kristen gnosticism beror nog på avgränsningen som gjordes i Messinakonferensen 1966 där man förbehöll termen gnosticism för de kristna skolbildningarna från det andra århundradet. Gnosis fick en vidare betydelse och stod för den </w:t>
      </w:r>
      <w:r w:rsidR="00D84959" w:rsidRPr="007B0ED8">
        <w:rPr>
          <w:rFonts w:ascii="Times New Roman" w:hAnsi="Times New Roman" w:cs="Courier New"/>
          <w:sz w:val="24"/>
          <w:szCs w:val="24"/>
        </w:rPr>
        <w:t xml:space="preserve">esoteriska </w:t>
      </w:r>
      <w:r w:rsidRPr="007B0ED8">
        <w:rPr>
          <w:rFonts w:ascii="Times New Roman" w:hAnsi="Times New Roman" w:cs="Courier New"/>
          <w:sz w:val="24"/>
          <w:szCs w:val="24"/>
        </w:rPr>
        <w:t>kunskap som var förbehål</w:t>
      </w:r>
      <w:r w:rsidR="00D84959" w:rsidRPr="007B0ED8">
        <w:rPr>
          <w:rFonts w:ascii="Times New Roman" w:hAnsi="Times New Roman" w:cs="Courier New"/>
          <w:sz w:val="24"/>
          <w:szCs w:val="24"/>
        </w:rPr>
        <w:t>l</w:t>
      </w:r>
      <w:r w:rsidRPr="007B0ED8">
        <w:rPr>
          <w:rFonts w:ascii="Times New Roman" w:hAnsi="Times New Roman" w:cs="Courier New"/>
          <w:sz w:val="24"/>
          <w:szCs w:val="24"/>
        </w:rPr>
        <w:t>en religiösa eliter inom olika religioner.</w:t>
      </w:r>
      <w:r w:rsidR="00D84959" w:rsidRPr="007B0ED8">
        <w:rPr>
          <w:rStyle w:val="Fotnotsreferens"/>
          <w:rFonts w:ascii="Times New Roman" w:hAnsi="Times New Roman" w:cs="Courier New"/>
          <w:sz w:val="24"/>
          <w:szCs w:val="24"/>
        </w:rPr>
        <w:footnoteReference w:id="21"/>
      </w:r>
      <w:r w:rsidRPr="007B0ED8">
        <w:rPr>
          <w:rFonts w:ascii="Times New Roman" w:hAnsi="Times New Roman" w:cs="Courier New"/>
          <w:sz w:val="24"/>
          <w:szCs w:val="24"/>
        </w:rPr>
        <w:t xml:space="preserve">   </w:t>
      </w:r>
      <w:r w:rsidR="00523275" w:rsidRPr="007B0ED8">
        <w:rPr>
          <w:rFonts w:ascii="Times New Roman" w:hAnsi="Times New Roman" w:cs="Courier New"/>
          <w:sz w:val="24"/>
          <w:szCs w:val="24"/>
        </w:rPr>
        <w:t xml:space="preserve">  </w:t>
      </w:r>
      <w:r w:rsidR="00490108" w:rsidRPr="007B0ED8">
        <w:rPr>
          <w:rFonts w:ascii="Times New Roman" w:hAnsi="Times New Roman" w:cs="Courier New"/>
          <w:sz w:val="24"/>
          <w:szCs w:val="24"/>
        </w:rPr>
        <w:t xml:space="preserve"> </w:t>
      </w:r>
      <w:r w:rsidR="000F6B2F" w:rsidRPr="007B0ED8">
        <w:rPr>
          <w:rFonts w:ascii="Times New Roman" w:hAnsi="Times New Roman" w:cs="Courier New"/>
          <w:sz w:val="24"/>
          <w:szCs w:val="24"/>
        </w:rPr>
        <w:t xml:space="preserve">  </w:t>
      </w:r>
      <w:r w:rsidR="00D84959" w:rsidRPr="007B0ED8">
        <w:rPr>
          <w:rFonts w:ascii="Times New Roman" w:hAnsi="Times New Roman" w:cs="Courier New"/>
          <w:sz w:val="24"/>
          <w:szCs w:val="24"/>
        </w:rPr>
        <w:t xml:space="preserve">Genom detta förslag ville man uppnå större begreppslig klarhet, men på köpet </w:t>
      </w:r>
      <w:r w:rsidR="00E909DD" w:rsidRPr="007B0ED8">
        <w:rPr>
          <w:rFonts w:ascii="Times New Roman" w:hAnsi="Times New Roman" w:cs="Courier New"/>
          <w:sz w:val="24"/>
          <w:szCs w:val="24"/>
        </w:rPr>
        <w:t xml:space="preserve">låste </w:t>
      </w:r>
      <w:r w:rsidR="00D84959" w:rsidRPr="007B0ED8">
        <w:rPr>
          <w:rFonts w:ascii="Times New Roman" w:hAnsi="Times New Roman" w:cs="Courier New"/>
          <w:sz w:val="24"/>
          <w:szCs w:val="24"/>
        </w:rPr>
        <w:t xml:space="preserve">man </w:t>
      </w:r>
      <w:r w:rsidR="00E909DD" w:rsidRPr="007B0ED8">
        <w:rPr>
          <w:rFonts w:ascii="Times New Roman" w:hAnsi="Times New Roman" w:cs="Courier New"/>
          <w:sz w:val="24"/>
          <w:szCs w:val="24"/>
        </w:rPr>
        <w:t xml:space="preserve">sig </w:t>
      </w:r>
      <w:r w:rsidR="00D84959" w:rsidRPr="007B0ED8">
        <w:rPr>
          <w:rFonts w:ascii="Times New Roman" w:hAnsi="Times New Roman" w:cs="Courier New"/>
          <w:sz w:val="24"/>
          <w:szCs w:val="24"/>
        </w:rPr>
        <w:t xml:space="preserve">även </w:t>
      </w:r>
      <w:r w:rsidR="00E909DD" w:rsidRPr="007B0ED8">
        <w:rPr>
          <w:rFonts w:ascii="Times New Roman" w:hAnsi="Times New Roman" w:cs="Courier New"/>
          <w:sz w:val="24"/>
          <w:szCs w:val="24"/>
        </w:rPr>
        <w:t xml:space="preserve">vid </w:t>
      </w:r>
      <w:r w:rsidR="00D84959" w:rsidRPr="007B0ED8">
        <w:rPr>
          <w:rFonts w:ascii="Times New Roman" w:hAnsi="Times New Roman" w:cs="Courier New"/>
          <w:sz w:val="24"/>
          <w:szCs w:val="24"/>
        </w:rPr>
        <w:t>en</w:t>
      </w:r>
      <w:r w:rsidR="00E11231" w:rsidRPr="007B0ED8">
        <w:rPr>
          <w:rFonts w:ascii="Times New Roman" w:hAnsi="Times New Roman" w:cs="Courier New"/>
          <w:sz w:val="24"/>
          <w:szCs w:val="24"/>
        </w:rPr>
        <w:t xml:space="preserve"> </w:t>
      </w:r>
      <w:r w:rsidR="00D84959" w:rsidRPr="007B0ED8">
        <w:rPr>
          <w:rFonts w:ascii="Times New Roman" w:hAnsi="Times New Roman" w:cs="Courier New"/>
          <w:sz w:val="24"/>
          <w:szCs w:val="24"/>
        </w:rPr>
        <w:t xml:space="preserve">internt kristen diskurs där </w:t>
      </w:r>
      <w:r w:rsidR="00E11231" w:rsidRPr="007B0ED8">
        <w:rPr>
          <w:rFonts w:ascii="Times New Roman" w:hAnsi="Times New Roman" w:cs="Courier New"/>
          <w:sz w:val="24"/>
          <w:szCs w:val="24"/>
        </w:rPr>
        <w:t xml:space="preserve">stereotyper kring fältet </w:t>
      </w:r>
      <w:r w:rsidR="00D84959" w:rsidRPr="007B0ED8">
        <w:rPr>
          <w:rFonts w:ascii="Times New Roman" w:hAnsi="Times New Roman" w:cs="Courier New"/>
          <w:sz w:val="24"/>
          <w:szCs w:val="24"/>
        </w:rPr>
        <w:t xml:space="preserve">ortodoxi och </w:t>
      </w:r>
      <w:r w:rsidR="00E11231" w:rsidRPr="007B0ED8">
        <w:rPr>
          <w:rFonts w:ascii="Times New Roman" w:hAnsi="Times New Roman" w:cs="Courier New"/>
          <w:sz w:val="24"/>
          <w:szCs w:val="24"/>
        </w:rPr>
        <w:t>heresi ständigt riskerade a</w:t>
      </w:r>
      <w:r w:rsidR="00F57645" w:rsidRPr="007B0ED8">
        <w:rPr>
          <w:rFonts w:ascii="Times New Roman" w:hAnsi="Times New Roman" w:cs="Courier New"/>
          <w:sz w:val="24"/>
          <w:szCs w:val="24"/>
        </w:rPr>
        <w:t xml:space="preserve">tt försvåra </w:t>
      </w:r>
      <w:r w:rsidR="00E11231" w:rsidRPr="007B0ED8">
        <w:rPr>
          <w:rFonts w:ascii="Times New Roman" w:hAnsi="Times New Roman" w:cs="Courier New"/>
          <w:sz w:val="24"/>
          <w:szCs w:val="24"/>
        </w:rPr>
        <w:t>det religionsvetenskapliga arbetet.</w:t>
      </w:r>
      <w:r w:rsidR="00F57645" w:rsidRPr="007B0ED8">
        <w:rPr>
          <w:rFonts w:ascii="Times New Roman" w:hAnsi="Times New Roman" w:cs="Courier New"/>
          <w:sz w:val="24"/>
          <w:szCs w:val="24"/>
        </w:rPr>
        <w:t xml:space="preserve"> Ur den synvi</w:t>
      </w:r>
      <w:r w:rsidR="008C4540" w:rsidRPr="007B0ED8">
        <w:rPr>
          <w:rFonts w:ascii="Times New Roman" w:hAnsi="Times New Roman" w:cs="Courier New"/>
          <w:sz w:val="24"/>
          <w:szCs w:val="24"/>
        </w:rPr>
        <w:t>n</w:t>
      </w:r>
      <w:r w:rsidR="00F57645" w:rsidRPr="007B0ED8">
        <w:rPr>
          <w:rFonts w:ascii="Times New Roman" w:hAnsi="Times New Roman" w:cs="Courier New"/>
          <w:sz w:val="24"/>
          <w:szCs w:val="24"/>
        </w:rPr>
        <w:t xml:space="preserve">keln är det ett lovvärt initiativ att enbart använda termen kristen, man bryter </w:t>
      </w:r>
      <w:r w:rsidR="00E909DD" w:rsidRPr="007B0ED8">
        <w:rPr>
          <w:rFonts w:ascii="Times New Roman" w:hAnsi="Times New Roman" w:cs="Courier New"/>
          <w:sz w:val="24"/>
          <w:szCs w:val="24"/>
        </w:rPr>
        <w:t xml:space="preserve">ju </w:t>
      </w:r>
      <w:r w:rsidR="00F57645" w:rsidRPr="007B0ED8">
        <w:rPr>
          <w:rFonts w:ascii="Times New Roman" w:hAnsi="Times New Roman" w:cs="Courier New"/>
          <w:sz w:val="24"/>
          <w:szCs w:val="24"/>
        </w:rPr>
        <w:t>därmed med dikotomin ortodox och here</w:t>
      </w:r>
      <w:r w:rsidR="00E909DD" w:rsidRPr="007B0ED8">
        <w:rPr>
          <w:rFonts w:ascii="Times New Roman" w:hAnsi="Times New Roman" w:cs="Courier New"/>
          <w:sz w:val="24"/>
          <w:szCs w:val="24"/>
        </w:rPr>
        <w:t>ti</w:t>
      </w:r>
      <w:r w:rsidR="00F57645" w:rsidRPr="007B0ED8">
        <w:rPr>
          <w:rFonts w:ascii="Times New Roman" w:hAnsi="Times New Roman" w:cs="Courier New"/>
          <w:sz w:val="24"/>
          <w:szCs w:val="24"/>
        </w:rPr>
        <w:t>s</w:t>
      </w:r>
      <w:r w:rsidR="00E909DD" w:rsidRPr="007B0ED8">
        <w:rPr>
          <w:rFonts w:ascii="Times New Roman" w:hAnsi="Times New Roman" w:cs="Courier New"/>
          <w:sz w:val="24"/>
          <w:szCs w:val="24"/>
        </w:rPr>
        <w:t>k</w:t>
      </w:r>
      <w:r w:rsidR="00F57645" w:rsidRPr="007B0ED8">
        <w:rPr>
          <w:rFonts w:ascii="Times New Roman" w:hAnsi="Times New Roman" w:cs="Courier New"/>
          <w:sz w:val="24"/>
          <w:szCs w:val="24"/>
        </w:rPr>
        <w:t>.</w:t>
      </w:r>
      <w:r w:rsidR="00E909DD" w:rsidRPr="007B0ED8">
        <w:rPr>
          <w:rFonts w:ascii="Times New Roman" w:hAnsi="Times New Roman" w:cs="Courier New"/>
          <w:sz w:val="24"/>
          <w:szCs w:val="24"/>
        </w:rPr>
        <w:t xml:space="preserve"> </w:t>
      </w:r>
      <w:r w:rsidR="00E909DD" w:rsidRPr="007B0ED8">
        <w:rPr>
          <w:rFonts w:ascii="Times New Roman" w:hAnsi="Times New Roman" w:cs="Courier New"/>
          <w:sz w:val="24"/>
          <w:szCs w:val="24"/>
        </w:rPr>
        <w:lastRenderedPageBreak/>
        <w:t xml:space="preserve">Men även denna lösning har ett högt pris. De myter som exempelvis återfinns i det material som återfanns i </w:t>
      </w:r>
      <w:proofErr w:type="spellStart"/>
      <w:r w:rsidR="00E909DD" w:rsidRPr="007B0ED8">
        <w:rPr>
          <w:rFonts w:ascii="Times New Roman" w:hAnsi="Times New Roman" w:cs="Courier New"/>
          <w:sz w:val="24"/>
          <w:szCs w:val="24"/>
        </w:rPr>
        <w:t>Nag</w:t>
      </w:r>
      <w:proofErr w:type="spellEnd"/>
      <w:r w:rsidR="00E909DD" w:rsidRPr="007B0ED8">
        <w:rPr>
          <w:rFonts w:ascii="Times New Roman" w:hAnsi="Times New Roman" w:cs="Courier New"/>
          <w:sz w:val="24"/>
          <w:szCs w:val="24"/>
        </w:rPr>
        <w:t xml:space="preserve"> Hammadi </w:t>
      </w:r>
      <w:r w:rsidR="005B6CA7" w:rsidRPr="007B0ED8">
        <w:rPr>
          <w:rFonts w:ascii="Times New Roman" w:hAnsi="Times New Roman" w:cs="Courier New"/>
          <w:sz w:val="24"/>
          <w:szCs w:val="24"/>
        </w:rPr>
        <w:t xml:space="preserve">skiljer sig ofta </w:t>
      </w:r>
      <w:r w:rsidR="00E909DD" w:rsidRPr="007B0ED8">
        <w:rPr>
          <w:rFonts w:ascii="Times New Roman" w:hAnsi="Times New Roman" w:cs="Courier New"/>
          <w:sz w:val="24"/>
          <w:szCs w:val="24"/>
        </w:rPr>
        <w:t xml:space="preserve">från dem som blev förhärskande inom senare ortodox kristendom. Jag har hävdat att gnostiska myter var viktiga för hur </w:t>
      </w:r>
      <w:r w:rsidR="003A1973" w:rsidRPr="007B0ED8">
        <w:rPr>
          <w:rFonts w:ascii="Times New Roman" w:hAnsi="Times New Roman" w:cs="Courier New"/>
          <w:sz w:val="24"/>
          <w:szCs w:val="24"/>
        </w:rPr>
        <w:t>de som ansåg dessa vara legitimerande argument</w:t>
      </w:r>
      <w:r w:rsidR="00FA2A22" w:rsidRPr="007B0ED8">
        <w:rPr>
          <w:rFonts w:ascii="Times New Roman" w:hAnsi="Times New Roman" w:cs="Courier New"/>
          <w:sz w:val="24"/>
          <w:szCs w:val="24"/>
        </w:rPr>
        <w:t>e</w:t>
      </w:r>
      <w:r w:rsidR="003A1973" w:rsidRPr="007B0ED8">
        <w:rPr>
          <w:rFonts w:ascii="Times New Roman" w:hAnsi="Times New Roman" w:cs="Courier New"/>
          <w:sz w:val="24"/>
          <w:szCs w:val="24"/>
        </w:rPr>
        <w:t>rade i etiska frågor.</w:t>
      </w:r>
      <w:r w:rsidR="003A1973" w:rsidRPr="007B0ED8">
        <w:rPr>
          <w:rStyle w:val="Fotnotsreferens"/>
          <w:rFonts w:ascii="Times New Roman" w:hAnsi="Times New Roman" w:cs="Courier New"/>
          <w:sz w:val="24"/>
          <w:szCs w:val="24"/>
        </w:rPr>
        <w:footnoteReference w:id="22"/>
      </w:r>
      <w:r w:rsidR="003A1973" w:rsidRPr="007B0ED8">
        <w:rPr>
          <w:rFonts w:ascii="Times New Roman" w:hAnsi="Times New Roman" w:cs="Courier New"/>
          <w:sz w:val="24"/>
          <w:szCs w:val="24"/>
        </w:rPr>
        <w:t xml:space="preserve"> </w:t>
      </w:r>
      <w:r w:rsidR="000B03D5" w:rsidRPr="007B0ED8">
        <w:rPr>
          <w:rFonts w:ascii="Times New Roman" w:hAnsi="Times New Roman" w:cs="Courier New"/>
          <w:sz w:val="24"/>
          <w:szCs w:val="24"/>
        </w:rPr>
        <w:t xml:space="preserve">Att i välvilja använda en för vid term som kristendom riskerar således enligt mig att åter osynliggöra många tidiga kristna traditioner som äntligen åter sett dagens ljus. </w:t>
      </w:r>
    </w:p>
    <w:p w:rsidR="000B2143" w:rsidRPr="007B0ED8" w:rsidRDefault="000B2143" w:rsidP="00DC4F04">
      <w:pPr>
        <w:rPr>
          <w:rFonts w:ascii="Times New Roman" w:hAnsi="Times New Roman" w:cs="Courier New"/>
          <w:sz w:val="24"/>
          <w:szCs w:val="24"/>
        </w:rPr>
      </w:pPr>
    </w:p>
    <w:p w:rsidR="001F6503" w:rsidRPr="007B0ED8" w:rsidRDefault="005B6CA7" w:rsidP="00DC4F04">
      <w:pPr>
        <w:rPr>
          <w:rFonts w:ascii="Times New Roman" w:hAnsi="Times New Roman" w:cs="Courier New"/>
          <w:sz w:val="24"/>
          <w:szCs w:val="24"/>
        </w:rPr>
      </w:pPr>
      <w:r w:rsidRPr="007B0ED8">
        <w:rPr>
          <w:rFonts w:ascii="Times New Roman" w:hAnsi="Times New Roman" w:cs="Courier New"/>
          <w:sz w:val="24"/>
          <w:szCs w:val="24"/>
        </w:rPr>
        <w:t>Eftersom Mani använde</w:t>
      </w:r>
      <w:r w:rsidR="001F6503" w:rsidRPr="007B0ED8">
        <w:rPr>
          <w:rFonts w:ascii="Times New Roman" w:hAnsi="Times New Roman" w:cs="Courier New"/>
          <w:sz w:val="24"/>
          <w:szCs w:val="24"/>
        </w:rPr>
        <w:t xml:space="preserve"> </w:t>
      </w:r>
      <w:r w:rsidRPr="007B0ED8">
        <w:rPr>
          <w:rFonts w:ascii="Times New Roman" w:hAnsi="Times New Roman" w:cs="Courier New"/>
          <w:sz w:val="24"/>
          <w:szCs w:val="24"/>
        </w:rPr>
        <w:t>och utvecklade myter som skiljer sig från m</w:t>
      </w:r>
      <w:r w:rsidR="001F6503" w:rsidRPr="007B0ED8">
        <w:rPr>
          <w:rFonts w:ascii="Times New Roman" w:hAnsi="Times New Roman" w:cs="Courier New"/>
          <w:sz w:val="24"/>
          <w:szCs w:val="24"/>
        </w:rPr>
        <w:t>å</w:t>
      </w:r>
      <w:r w:rsidRPr="007B0ED8">
        <w:rPr>
          <w:rFonts w:ascii="Times New Roman" w:hAnsi="Times New Roman" w:cs="Courier New"/>
          <w:sz w:val="24"/>
          <w:szCs w:val="24"/>
        </w:rPr>
        <w:t>nga andra kristnas vore det att underskatta myternas betydelse att använda termen kristen. Vi kunde kalla Manis religion för kristen gnosticism, eftersom det finns intressanta likheter med myter</w:t>
      </w:r>
      <w:r w:rsidR="001F6503" w:rsidRPr="007B0ED8">
        <w:rPr>
          <w:rFonts w:ascii="Times New Roman" w:hAnsi="Times New Roman" w:cs="Courier New"/>
          <w:sz w:val="24"/>
          <w:szCs w:val="24"/>
        </w:rPr>
        <w:t xml:space="preserve">na </w:t>
      </w:r>
      <w:r w:rsidRPr="007B0ED8">
        <w:rPr>
          <w:rFonts w:ascii="Times New Roman" w:hAnsi="Times New Roman" w:cs="Courier New"/>
          <w:sz w:val="24"/>
          <w:szCs w:val="24"/>
        </w:rPr>
        <w:t xml:space="preserve">från </w:t>
      </w:r>
      <w:proofErr w:type="spellStart"/>
      <w:r w:rsidRPr="007B0ED8">
        <w:rPr>
          <w:rFonts w:ascii="Times New Roman" w:hAnsi="Times New Roman" w:cs="Courier New"/>
          <w:sz w:val="24"/>
          <w:szCs w:val="24"/>
        </w:rPr>
        <w:t>Nag</w:t>
      </w:r>
      <w:proofErr w:type="spellEnd"/>
      <w:r w:rsidRPr="007B0ED8">
        <w:rPr>
          <w:rFonts w:ascii="Times New Roman" w:hAnsi="Times New Roman" w:cs="Courier New"/>
          <w:sz w:val="24"/>
          <w:szCs w:val="24"/>
        </w:rPr>
        <w:t xml:space="preserve"> Ham</w:t>
      </w:r>
      <w:r w:rsidR="006E2033" w:rsidRPr="007B0ED8">
        <w:rPr>
          <w:rFonts w:ascii="Times New Roman" w:hAnsi="Times New Roman" w:cs="Courier New"/>
          <w:sz w:val="24"/>
          <w:szCs w:val="24"/>
        </w:rPr>
        <w:t>m</w:t>
      </w:r>
      <w:r w:rsidRPr="007B0ED8">
        <w:rPr>
          <w:rFonts w:ascii="Times New Roman" w:hAnsi="Times New Roman" w:cs="Courier New"/>
          <w:sz w:val="24"/>
          <w:szCs w:val="24"/>
        </w:rPr>
        <w:t xml:space="preserve">adi. Men detta vore olyckligt när vi analyserar manikeiska texter från 1300-talets Kina. </w:t>
      </w:r>
      <w:r w:rsidR="006E2033" w:rsidRPr="007B0ED8">
        <w:rPr>
          <w:rFonts w:ascii="Times New Roman" w:hAnsi="Times New Roman" w:cs="Courier New"/>
          <w:sz w:val="24"/>
          <w:szCs w:val="24"/>
        </w:rPr>
        <w:t>I likhet med andra religioner formas m</w:t>
      </w:r>
      <w:r w:rsidR="001F6503" w:rsidRPr="007B0ED8">
        <w:rPr>
          <w:rFonts w:ascii="Times New Roman" w:hAnsi="Times New Roman" w:cs="Courier New"/>
          <w:sz w:val="24"/>
          <w:szCs w:val="24"/>
        </w:rPr>
        <w:t xml:space="preserve">anikeismen </w:t>
      </w:r>
      <w:r w:rsidR="006E2033" w:rsidRPr="007B0ED8">
        <w:rPr>
          <w:rFonts w:ascii="Times New Roman" w:hAnsi="Times New Roman" w:cs="Courier New"/>
          <w:sz w:val="24"/>
          <w:szCs w:val="24"/>
        </w:rPr>
        <w:t xml:space="preserve">av </w:t>
      </w:r>
      <w:r w:rsidR="001F6503" w:rsidRPr="007B0ED8">
        <w:rPr>
          <w:rFonts w:ascii="Times New Roman" w:hAnsi="Times New Roman" w:cs="Courier New"/>
          <w:sz w:val="24"/>
          <w:szCs w:val="24"/>
        </w:rPr>
        <w:t>sin omgivning och då vi kommer till Kina är det snarast buddhismen som man relaterar till. Att istället enbart kal</w:t>
      </w:r>
      <w:r w:rsidR="006E2033" w:rsidRPr="007B0ED8">
        <w:rPr>
          <w:rFonts w:ascii="Times New Roman" w:hAnsi="Times New Roman" w:cs="Courier New"/>
          <w:sz w:val="24"/>
          <w:szCs w:val="24"/>
        </w:rPr>
        <w:t>l</w:t>
      </w:r>
      <w:r w:rsidR="001F6503" w:rsidRPr="007B0ED8">
        <w:rPr>
          <w:rFonts w:ascii="Times New Roman" w:hAnsi="Times New Roman" w:cs="Courier New"/>
          <w:sz w:val="24"/>
          <w:szCs w:val="24"/>
        </w:rPr>
        <w:t xml:space="preserve">a manikeismen för gnostisk vore </w:t>
      </w:r>
      <w:r w:rsidR="006E2033" w:rsidRPr="007B0ED8">
        <w:rPr>
          <w:rFonts w:ascii="Times New Roman" w:hAnsi="Times New Roman" w:cs="Courier New"/>
          <w:sz w:val="24"/>
          <w:szCs w:val="24"/>
        </w:rPr>
        <w:t xml:space="preserve">också </w:t>
      </w:r>
      <w:r w:rsidR="001F6503" w:rsidRPr="007B0ED8">
        <w:rPr>
          <w:rFonts w:ascii="Times New Roman" w:hAnsi="Times New Roman" w:cs="Courier New"/>
          <w:sz w:val="24"/>
          <w:szCs w:val="24"/>
        </w:rPr>
        <w:t xml:space="preserve">riskabelt då det skulle skära av det nära samband som manikeismen alltid haft med de omgivande religionerna. </w:t>
      </w:r>
      <w:r w:rsidR="006E2033" w:rsidRPr="007B0ED8">
        <w:rPr>
          <w:rFonts w:ascii="Times New Roman" w:hAnsi="Times New Roman" w:cs="Courier New"/>
          <w:sz w:val="24"/>
          <w:szCs w:val="24"/>
        </w:rPr>
        <w:t xml:space="preserve">Detta på grund av att gnosticism ofta används som en pejorativ term som fungerat marginaliserande. </w:t>
      </w:r>
      <w:r w:rsidR="001F6503" w:rsidRPr="007B0ED8">
        <w:rPr>
          <w:rFonts w:ascii="Times New Roman" w:hAnsi="Times New Roman" w:cs="Courier New"/>
          <w:sz w:val="24"/>
          <w:szCs w:val="24"/>
        </w:rPr>
        <w:t>Jag förespråkar därför a</w:t>
      </w:r>
      <w:r w:rsidR="006E2033" w:rsidRPr="007B0ED8">
        <w:rPr>
          <w:rFonts w:ascii="Times New Roman" w:hAnsi="Times New Roman" w:cs="Courier New"/>
          <w:sz w:val="24"/>
          <w:szCs w:val="24"/>
        </w:rPr>
        <w:t>t</w:t>
      </w:r>
      <w:r w:rsidR="001F6503" w:rsidRPr="007B0ED8">
        <w:rPr>
          <w:rFonts w:ascii="Times New Roman" w:hAnsi="Times New Roman" w:cs="Courier New"/>
          <w:sz w:val="24"/>
          <w:szCs w:val="24"/>
        </w:rPr>
        <w:t>t vi använder termen manikeism, men med stor medvetenhet om att den inte är mer e</w:t>
      </w:r>
      <w:r w:rsidR="008C4540" w:rsidRPr="007B0ED8">
        <w:rPr>
          <w:rFonts w:ascii="Times New Roman" w:hAnsi="Times New Roman" w:cs="Courier New"/>
          <w:sz w:val="24"/>
          <w:szCs w:val="24"/>
        </w:rPr>
        <w:t>l</w:t>
      </w:r>
      <w:r w:rsidR="001F6503" w:rsidRPr="007B0ED8">
        <w:rPr>
          <w:rFonts w:ascii="Times New Roman" w:hAnsi="Times New Roman" w:cs="Courier New"/>
          <w:sz w:val="24"/>
          <w:szCs w:val="24"/>
        </w:rPr>
        <w:t xml:space="preserve">ler mindre ”främmande” än andra religioner. </w:t>
      </w:r>
    </w:p>
    <w:p w:rsidR="000D6729" w:rsidRPr="007B0ED8" w:rsidRDefault="000D6729" w:rsidP="00DC4F04">
      <w:pPr>
        <w:rPr>
          <w:rFonts w:ascii="Times New Roman" w:hAnsi="Times New Roman" w:cs="Courier New"/>
          <w:sz w:val="24"/>
        </w:rPr>
      </w:pPr>
    </w:p>
    <w:p w:rsidR="000D6729" w:rsidRPr="007B0ED8" w:rsidRDefault="000D6729" w:rsidP="000D6729">
      <w:pPr>
        <w:pStyle w:val="Rubrik3"/>
        <w:rPr>
          <w:rFonts w:ascii="Times New Roman" w:hAnsi="Times New Roman"/>
          <w:sz w:val="24"/>
        </w:rPr>
      </w:pPr>
      <w:r w:rsidRPr="007B0ED8">
        <w:rPr>
          <w:rFonts w:ascii="Times New Roman" w:hAnsi="Times New Roman"/>
          <w:sz w:val="24"/>
        </w:rPr>
        <w:t>Manis budskap</w:t>
      </w:r>
    </w:p>
    <w:p w:rsidR="00201331" w:rsidRPr="007B0ED8" w:rsidRDefault="006D46E7" w:rsidP="00DE13BC">
      <w:pPr>
        <w:rPr>
          <w:rFonts w:ascii="Times New Roman" w:hAnsi="Times New Roman" w:cs="Courier New"/>
          <w:sz w:val="24"/>
          <w:szCs w:val="24"/>
        </w:rPr>
      </w:pPr>
      <w:r w:rsidRPr="007B0ED8">
        <w:rPr>
          <w:rFonts w:ascii="Times New Roman" w:hAnsi="Times New Roman" w:cs="Courier New"/>
          <w:sz w:val="24"/>
          <w:szCs w:val="24"/>
        </w:rPr>
        <w:t xml:space="preserve">Här följer </w:t>
      </w:r>
      <w:r w:rsidR="008D625C" w:rsidRPr="007B0ED8">
        <w:rPr>
          <w:rFonts w:ascii="Times New Roman" w:hAnsi="Times New Roman" w:cs="Courier New"/>
          <w:sz w:val="24"/>
          <w:szCs w:val="24"/>
        </w:rPr>
        <w:t xml:space="preserve">en </w:t>
      </w:r>
      <w:r w:rsidR="00DF27A7" w:rsidRPr="007B0ED8">
        <w:rPr>
          <w:rFonts w:ascii="Times New Roman" w:hAnsi="Times New Roman" w:cs="Courier New"/>
          <w:sz w:val="24"/>
          <w:szCs w:val="24"/>
        </w:rPr>
        <w:t xml:space="preserve">mycket </w:t>
      </w:r>
      <w:r w:rsidR="008D625C" w:rsidRPr="007B0ED8">
        <w:rPr>
          <w:rFonts w:ascii="Times New Roman" w:hAnsi="Times New Roman" w:cs="Courier New"/>
          <w:sz w:val="24"/>
          <w:szCs w:val="24"/>
        </w:rPr>
        <w:t>nedbantad sammanfattning av de grundkomponenter i manikeismen som krä</w:t>
      </w:r>
      <w:r w:rsidR="008C4540" w:rsidRPr="007B0ED8">
        <w:rPr>
          <w:rFonts w:ascii="Times New Roman" w:hAnsi="Times New Roman" w:cs="Courier New"/>
          <w:sz w:val="24"/>
          <w:szCs w:val="24"/>
        </w:rPr>
        <w:t>vs för att vi ska kunna närma o</w:t>
      </w:r>
      <w:r w:rsidR="008D625C" w:rsidRPr="007B0ED8">
        <w:rPr>
          <w:rFonts w:ascii="Times New Roman" w:hAnsi="Times New Roman" w:cs="Courier New"/>
          <w:sz w:val="24"/>
          <w:szCs w:val="24"/>
        </w:rPr>
        <w:t xml:space="preserve">ss förhållandet till maten. </w:t>
      </w:r>
      <w:r w:rsidR="00C91727" w:rsidRPr="007B0ED8">
        <w:rPr>
          <w:rFonts w:ascii="Times New Roman" w:hAnsi="Times New Roman" w:cs="Courier New"/>
          <w:sz w:val="24"/>
          <w:szCs w:val="24"/>
        </w:rPr>
        <w:t xml:space="preserve">I sina tidiga brev presenterade sig Mani vanligtvis som Jesus apostel. Men </w:t>
      </w:r>
      <w:r w:rsidR="004C26C8" w:rsidRPr="007B0ED8">
        <w:rPr>
          <w:rFonts w:ascii="Times New Roman" w:hAnsi="Times New Roman" w:cs="Courier New"/>
          <w:sz w:val="24"/>
          <w:szCs w:val="24"/>
        </w:rPr>
        <w:t>vartefter hans eget självmedveta</w:t>
      </w:r>
      <w:r w:rsidR="00C91727" w:rsidRPr="007B0ED8">
        <w:rPr>
          <w:rFonts w:ascii="Times New Roman" w:hAnsi="Times New Roman" w:cs="Courier New"/>
          <w:sz w:val="24"/>
          <w:szCs w:val="24"/>
        </w:rPr>
        <w:t xml:space="preserve">nde utvecklades möter vi </w:t>
      </w:r>
      <w:r w:rsidR="0000377C" w:rsidRPr="007B0ED8">
        <w:rPr>
          <w:rFonts w:ascii="Times New Roman" w:hAnsi="Times New Roman" w:cs="Courier New"/>
          <w:sz w:val="24"/>
          <w:szCs w:val="24"/>
        </w:rPr>
        <w:t xml:space="preserve">oftare </w:t>
      </w:r>
      <w:r w:rsidR="00C91727" w:rsidRPr="007B0ED8">
        <w:rPr>
          <w:rFonts w:ascii="Times New Roman" w:hAnsi="Times New Roman" w:cs="Courier New"/>
          <w:sz w:val="24"/>
          <w:szCs w:val="24"/>
        </w:rPr>
        <w:t xml:space="preserve">även titeln ”den levande” vilket på grekiska blir </w:t>
      </w:r>
      <w:r w:rsidR="00C91727" w:rsidRPr="007B0ED8">
        <w:rPr>
          <w:rFonts w:ascii="Times New Roman" w:hAnsi="Times New Roman" w:cs="Courier New"/>
          <w:i/>
          <w:sz w:val="24"/>
          <w:szCs w:val="24"/>
        </w:rPr>
        <w:t>manichaios</w:t>
      </w:r>
      <w:r w:rsidR="00546B89" w:rsidRPr="007B0ED8">
        <w:rPr>
          <w:rFonts w:ascii="Times New Roman" w:hAnsi="Times New Roman" w:cs="Courier New"/>
          <w:i/>
          <w:sz w:val="24"/>
          <w:szCs w:val="24"/>
        </w:rPr>
        <w:t>.</w:t>
      </w:r>
      <w:r w:rsidR="00C91727" w:rsidRPr="007B0ED8">
        <w:rPr>
          <w:rFonts w:ascii="Times New Roman" w:hAnsi="Times New Roman" w:cs="Courier New"/>
          <w:sz w:val="24"/>
          <w:szCs w:val="24"/>
        </w:rPr>
        <w:t xml:space="preserve"> </w:t>
      </w:r>
      <w:r w:rsidR="00546B89" w:rsidRPr="007B0ED8">
        <w:rPr>
          <w:rFonts w:ascii="Times New Roman" w:hAnsi="Times New Roman" w:cs="Courier New"/>
          <w:sz w:val="24"/>
          <w:szCs w:val="24"/>
        </w:rPr>
        <w:t xml:space="preserve">Det </w:t>
      </w:r>
      <w:r w:rsidR="00C91727" w:rsidRPr="007B0ED8">
        <w:rPr>
          <w:rFonts w:ascii="Times New Roman" w:hAnsi="Times New Roman" w:cs="Courier New"/>
          <w:sz w:val="24"/>
          <w:szCs w:val="24"/>
        </w:rPr>
        <w:t xml:space="preserve">är en härledning från persiskans </w:t>
      </w:r>
      <w:r w:rsidR="00C91727" w:rsidRPr="007B0ED8">
        <w:rPr>
          <w:rFonts w:ascii="Times New Roman" w:hAnsi="Times New Roman" w:cs="Courier New"/>
          <w:i/>
          <w:sz w:val="24"/>
          <w:szCs w:val="24"/>
        </w:rPr>
        <w:t>Mani</w:t>
      </w:r>
      <w:r w:rsidR="00C91727" w:rsidRPr="007B0ED8">
        <w:rPr>
          <w:rFonts w:ascii="Times New Roman" w:hAnsi="Times New Roman" w:cs="Courier New"/>
          <w:sz w:val="24"/>
          <w:szCs w:val="24"/>
        </w:rPr>
        <w:t>.</w:t>
      </w:r>
      <w:r w:rsidR="004C26C8" w:rsidRPr="007B0ED8">
        <w:rPr>
          <w:rFonts w:ascii="Times New Roman" w:hAnsi="Times New Roman" w:cs="Courier New"/>
          <w:sz w:val="24"/>
          <w:szCs w:val="24"/>
        </w:rPr>
        <w:t xml:space="preserve"> </w:t>
      </w:r>
      <w:r w:rsidR="005B1476" w:rsidRPr="007B0ED8">
        <w:rPr>
          <w:rFonts w:ascii="Times New Roman" w:hAnsi="Times New Roman" w:cs="Courier New"/>
          <w:sz w:val="24"/>
          <w:szCs w:val="24"/>
        </w:rPr>
        <w:t>M</w:t>
      </w:r>
      <w:r w:rsidR="004C26C8" w:rsidRPr="007B0ED8">
        <w:rPr>
          <w:rFonts w:ascii="Times New Roman" w:hAnsi="Times New Roman" w:cs="Courier New"/>
          <w:sz w:val="24"/>
          <w:szCs w:val="24"/>
        </w:rPr>
        <w:t xml:space="preserve">edvetenhet som apostel fick </w:t>
      </w:r>
      <w:r w:rsidR="005B1476" w:rsidRPr="007B0ED8">
        <w:rPr>
          <w:rFonts w:ascii="Times New Roman" w:hAnsi="Times New Roman" w:cs="Courier New"/>
          <w:sz w:val="24"/>
          <w:szCs w:val="24"/>
        </w:rPr>
        <w:t xml:space="preserve">Mani under sin uppväxt hos </w:t>
      </w:r>
      <w:proofErr w:type="spellStart"/>
      <w:r w:rsidR="005B1476" w:rsidRPr="007B0ED8">
        <w:rPr>
          <w:rFonts w:ascii="Times New Roman" w:hAnsi="Times New Roman" w:cs="Courier New"/>
          <w:sz w:val="24"/>
          <w:szCs w:val="24"/>
        </w:rPr>
        <w:t>alkesiterna</w:t>
      </w:r>
      <w:proofErr w:type="spellEnd"/>
      <w:r w:rsidR="005B1476" w:rsidRPr="007B0ED8">
        <w:rPr>
          <w:rFonts w:ascii="Times New Roman" w:hAnsi="Times New Roman" w:cs="Courier New"/>
          <w:sz w:val="24"/>
          <w:szCs w:val="24"/>
        </w:rPr>
        <w:t>. V</w:t>
      </w:r>
      <w:r w:rsidR="004C26C8" w:rsidRPr="007B0ED8">
        <w:rPr>
          <w:rFonts w:ascii="Times New Roman" w:hAnsi="Times New Roman" w:cs="Courier New"/>
          <w:sz w:val="24"/>
          <w:szCs w:val="24"/>
        </w:rPr>
        <w:t>id tol</w:t>
      </w:r>
      <w:r w:rsidR="005B1476" w:rsidRPr="007B0ED8">
        <w:rPr>
          <w:rFonts w:ascii="Times New Roman" w:hAnsi="Times New Roman" w:cs="Courier New"/>
          <w:sz w:val="24"/>
          <w:szCs w:val="24"/>
        </w:rPr>
        <w:t>v</w:t>
      </w:r>
      <w:r w:rsidR="004C26C8" w:rsidRPr="007B0ED8">
        <w:rPr>
          <w:rFonts w:ascii="Times New Roman" w:hAnsi="Times New Roman" w:cs="Courier New"/>
          <w:sz w:val="24"/>
          <w:szCs w:val="24"/>
        </w:rPr>
        <w:t xml:space="preserve"> års ålder</w:t>
      </w:r>
      <w:r w:rsidR="005B1476" w:rsidRPr="007B0ED8">
        <w:rPr>
          <w:rFonts w:ascii="Times New Roman" w:hAnsi="Times New Roman" w:cs="Courier New"/>
          <w:sz w:val="24"/>
          <w:szCs w:val="24"/>
        </w:rPr>
        <w:t xml:space="preserve"> </w:t>
      </w:r>
      <w:r w:rsidR="004C26C8" w:rsidRPr="007B0ED8">
        <w:rPr>
          <w:rFonts w:ascii="Times New Roman" w:hAnsi="Times New Roman" w:cs="Courier New"/>
          <w:sz w:val="24"/>
          <w:szCs w:val="24"/>
        </w:rPr>
        <w:t xml:space="preserve">mötte </w:t>
      </w:r>
      <w:r w:rsidR="005B1476" w:rsidRPr="007B0ED8">
        <w:rPr>
          <w:rFonts w:ascii="Times New Roman" w:hAnsi="Times New Roman" w:cs="Courier New"/>
          <w:sz w:val="24"/>
          <w:szCs w:val="24"/>
        </w:rPr>
        <w:t xml:space="preserve">han </w:t>
      </w:r>
      <w:r w:rsidR="004C26C8" w:rsidRPr="007B0ED8">
        <w:rPr>
          <w:rFonts w:ascii="Times New Roman" w:hAnsi="Times New Roman" w:cs="Courier New"/>
          <w:sz w:val="24"/>
          <w:szCs w:val="24"/>
        </w:rPr>
        <w:t>sin himmelske tvilling</w:t>
      </w:r>
      <w:r w:rsidR="005B1476" w:rsidRPr="007B0ED8">
        <w:rPr>
          <w:rFonts w:ascii="Times New Roman" w:hAnsi="Times New Roman" w:cs="Courier New"/>
          <w:sz w:val="24"/>
          <w:szCs w:val="24"/>
        </w:rPr>
        <w:t>. I uppenbarelserna ska Mani ha fått veta allt som skett och allt som ska ske.</w:t>
      </w:r>
      <w:r w:rsidR="005B1476" w:rsidRPr="007B0ED8">
        <w:rPr>
          <w:rStyle w:val="Fotnotsreferens"/>
          <w:rFonts w:ascii="Times New Roman" w:hAnsi="Times New Roman" w:cs="Courier New"/>
          <w:sz w:val="24"/>
          <w:szCs w:val="24"/>
        </w:rPr>
        <w:footnoteReference w:id="23"/>
      </w:r>
      <w:r w:rsidR="005B1476" w:rsidRPr="007B0ED8">
        <w:rPr>
          <w:rFonts w:ascii="Times New Roman" w:hAnsi="Times New Roman" w:cs="Courier New"/>
          <w:sz w:val="24"/>
          <w:szCs w:val="24"/>
        </w:rPr>
        <w:t xml:space="preserve"> </w:t>
      </w:r>
      <w:r w:rsidR="00870FCE" w:rsidRPr="007B0ED8">
        <w:rPr>
          <w:rFonts w:ascii="Times New Roman" w:hAnsi="Times New Roman" w:cs="Courier New"/>
          <w:sz w:val="24"/>
          <w:szCs w:val="24"/>
        </w:rPr>
        <w:t xml:space="preserve"> </w:t>
      </w:r>
      <w:r w:rsidR="0080151C" w:rsidRPr="007B0ED8">
        <w:rPr>
          <w:rFonts w:ascii="Times New Roman" w:hAnsi="Times New Roman" w:cs="Courier New"/>
          <w:sz w:val="24"/>
          <w:szCs w:val="24"/>
        </w:rPr>
        <w:t xml:space="preserve">Mani försäkrades om hjälp från sin tvilling som han </w:t>
      </w:r>
      <w:r w:rsidR="00DF27A7" w:rsidRPr="007B0ED8">
        <w:rPr>
          <w:rFonts w:ascii="Times New Roman" w:hAnsi="Times New Roman" w:cs="Courier New"/>
          <w:sz w:val="24"/>
          <w:szCs w:val="24"/>
        </w:rPr>
        <w:t xml:space="preserve">såg </w:t>
      </w:r>
      <w:r w:rsidR="0080151C" w:rsidRPr="007B0ED8">
        <w:rPr>
          <w:rFonts w:ascii="Times New Roman" w:hAnsi="Times New Roman" w:cs="Courier New"/>
          <w:sz w:val="24"/>
          <w:szCs w:val="24"/>
        </w:rPr>
        <w:t xml:space="preserve">som Hjälparen i </w:t>
      </w:r>
      <w:r w:rsidR="0080151C" w:rsidRPr="007B0ED8">
        <w:rPr>
          <w:rFonts w:ascii="Times New Roman" w:hAnsi="Times New Roman" w:cs="Courier New"/>
          <w:i/>
          <w:sz w:val="24"/>
          <w:szCs w:val="24"/>
        </w:rPr>
        <w:t>Johannesevangeliet</w:t>
      </w:r>
      <w:r w:rsidR="0080151C" w:rsidRPr="007B0ED8">
        <w:rPr>
          <w:rFonts w:ascii="Times New Roman" w:hAnsi="Times New Roman" w:cs="Courier New"/>
          <w:sz w:val="24"/>
          <w:szCs w:val="24"/>
        </w:rPr>
        <w:t>. Då Mani mer och mer kom att identifiera sig med hjälparen</w:t>
      </w:r>
      <w:r w:rsidR="0080151C" w:rsidRPr="007B0ED8">
        <w:rPr>
          <w:rStyle w:val="Fotnotsreferens"/>
          <w:rFonts w:ascii="Times New Roman" w:hAnsi="Times New Roman" w:cs="Courier New"/>
          <w:sz w:val="24"/>
          <w:szCs w:val="24"/>
        </w:rPr>
        <w:footnoteReference w:id="24"/>
      </w:r>
      <w:r w:rsidR="004852AB" w:rsidRPr="007B0ED8">
        <w:rPr>
          <w:rFonts w:ascii="Times New Roman" w:hAnsi="Times New Roman" w:cs="Courier New"/>
          <w:sz w:val="24"/>
          <w:szCs w:val="24"/>
        </w:rPr>
        <w:t xml:space="preserve"> och då den</w:t>
      </w:r>
      <w:r w:rsidR="00AD68C8" w:rsidRPr="007B0ED8">
        <w:rPr>
          <w:rFonts w:ascii="Times New Roman" w:hAnsi="Times New Roman" w:cs="Courier New"/>
          <w:sz w:val="24"/>
          <w:szCs w:val="24"/>
        </w:rPr>
        <w:t>n</w:t>
      </w:r>
      <w:r w:rsidR="004852AB" w:rsidRPr="007B0ED8">
        <w:rPr>
          <w:rFonts w:ascii="Times New Roman" w:hAnsi="Times New Roman" w:cs="Courier New"/>
          <w:sz w:val="24"/>
          <w:szCs w:val="24"/>
        </w:rPr>
        <w:t>e</w:t>
      </w:r>
      <w:r w:rsidR="0080151C" w:rsidRPr="007B0ED8">
        <w:rPr>
          <w:rFonts w:ascii="Times New Roman" w:hAnsi="Times New Roman" w:cs="Courier New"/>
          <w:sz w:val="24"/>
          <w:szCs w:val="24"/>
        </w:rPr>
        <w:t xml:space="preserve"> även sägs vara et</w:t>
      </w:r>
      <w:r w:rsidR="00AD68C8" w:rsidRPr="007B0ED8">
        <w:rPr>
          <w:rFonts w:ascii="Times New Roman" w:hAnsi="Times New Roman" w:cs="Courier New"/>
          <w:sz w:val="24"/>
          <w:szCs w:val="24"/>
        </w:rPr>
        <w:t>t</w:t>
      </w:r>
      <w:r w:rsidR="0080151C" w:rsidRPr="007B0ED8">
        <w:rPr>
          <w:rFonts w:ascii="Times New Roman" w:hAnsi="Times New Roman" w:cs="Courier New"/>
          <w:sz w:val="24"/>
          <w:szCs w:val="24"/>
        </w:rPr>
        <w:t xml:space="preserve"> stöd för varje efterföljande apostel</w:t>
      </w:r>
      <w:r w:rsidR="00AD68C8" w:rsidRPr="007B0ED8">
        <w:rPr>
          <w:rStyle w:val="Fotnotsreferens"/>
          <w:rFonts w:ascii="Times New Roman" w:hAnsi="Times New Roman" w:cs="Courier New"/>
          <w:sz w:val="24"/>
          <w:szCs w:val="24"/>
        </w:rPr>
        <w:footnoteReference w:id="25"/>
      </w:r>
      <w:r w:rsidR="0080151C" w:rsidRPr="007B0ED8">
        <w:rPr>
          <w:rFonts w:ascii="Times New Roman" w:hAnsi="Times New Roman" w:cs="Courier New"/>
          <w:sz w:val="24"/>
          <w:szCs w:val="24"/>
        </w:rPr>
        <w:t xml:space="preserve"> är det naturligt att Mani ofta kallas parakleten i senare manikeisk litteratur.</w:t>
      </w:r>
      <w:r w:rsidR="00B0392E" w:rsidRPr="007B0ED8">
        <w:rPr>
          <w:rFonts w:ascii="Times New Roman" w:hAnsi="Times New Roman" w:cs="Courier New"/>
          <w:sz w:val="24"/>
          <w:szCs w:val="24"/>
        </w:rPr>
        <w:t xml:space="preserve"> </w:t>
      </w:r>
      <w:r w:rsidR="00DF27A7" w:rsidRPr="007B0ED8">
        <w:rPr>
          <w:rFonts w:ascii="Times New Roman" w:hAnsi="Times New Roman" w:cs="Courier New"/>
          <w:sz w:val="24"/>
          <w:szCs w:val="24"/>
        </w:rPr>
        <w:t xml:space="preserve">Ordet för hjälpare i </w:t>
      </w:r>
      <w:r w:rsidR="00DF27A7" w:rsidRPr="007B0ED8">
        <w:rPr>
          <w:rFonts w:ascii="Times New Roman" w:hAnsi="Times New Roman" w:cs="Courier New"/>
          <w:i/>
          <w:sz w:val="24"/>
          <w:szCs w:val="24"/>
        </w:rPr>
        <w:t>Johannesevangeliet</w:t>
      </w:r>
      <w:r w:rsidR="00DF27A7" w:rsidRPr="007B0ED8">
        <w:rPr>
          <w:rFonts w:ascii="Times New Roman" w:hAnsi="Times New Roman" w:cs="Courier New"/>
          <w:sz w:val="24"/>
          <w:szCs w:val="24"/>
        </w:rPr>
        <w:t xml:space="preserve"> är nämligen </w:t>
      </w:r>
      <w:r w:rsidR="00DF27A7" w:rsidRPr="007B0ED8">
        <w:rPr>
          <w:rFonts w:ascii="Times New Roman" w:hAnsi="Times New Roman" w:cs="Courier New"/>
          <w:i/>
          <w:sz w:val="24"/>
          <w:szCs w:val="24"/>
        </w:rPr>
        <w:t>parakletos</w:t>
      </w:r>
      <w:r w:rsidR="00DF27A7" w:rsidRPr="007B0ED8">
        <w:rPr>
          <w:rFonts w:ascii="Times New Roman" w:hAnsi="Times New Roman" w:cs="Courier New"/>
          <w:sz w:val="24"/>
          <w:szCs w:val="24"/>
        </w:rPr>
        <w:t xml:space="preserve">. </w:t>
      </w:r>
      <w:r w:rsidR="004852AB" w:rsidRPr="007B0ED8">
        <w:rPr>
          <w:rFonts w:ascii="Times New Roman" w:hAnsi="Times New Roman" w:cs="Courier New"/>
          <w:sz w:val="24"/>
          <w:szCs w:val="24"/>
        </w:rPr>
        <w:t xml:space="preserve">Dock </w:t>
      </w:r>
      <w:r w:rsidR="00B0392E" w:rsidRPr="007B0ED8">
        <w:rPr>
          <w:rFonts w:ascii="Times New Roman" w:hAnsi="Times New Roman" w:cs="Courier New"/>
          <w:sz w:val="24"/>
          <w:szCs w:val="24"/>
        </w:rPr>
        <w:t xml:space="preserve">bör </w:t>
      </w:r>
      <w:r w:rsidR="004852AB" w:rsidRPr="007B0ED8">
        <w:rPr>
          <w:rFonts w:ascii="Times New Roman" w:hAnsi="Times New Roman" w:cs="Courier New"/>
          <w:sz w:val="24"/>
          <w:szCs w:val="24"/>
        </w:rPr>
        <w:t xml:space="preserve">det </w:t>
      </w:r>
      <w:r w:rsidR="00B0392E" w:rsidRPr="007B0ED8">
        <w:rPr>
          <w:rFonts w:ascii="Times New Roman" w:hAnsi="Times New Roman" w:cs="Courier New"/>
          <w:sz w:val="24"/>
          <w:szCs w:val="24"/>
        </w:rPr>
        <w:t xml:space="preserve">understrykas att manikéerna inte menade att Mani var ”den helige anden” </w:t>
      </w:r>
      <w:r w:rsidR="007769DD" w:rsidRPr="007B0ED8">
        <w:rPr>
          <w:rFonts w:ascii="Times New Roman" w:hAnsi="Times New Roman" w:cs="Courier New"/>
          <w:sz w:val="24"/>
          <w:szCs w:val="24"/>
        </w:rPr>
        <w:t>och därmed en del av treenigheten.</w:t>
      </w:r>
      <w:r w:rsidR="00CC3588" w:rsidRPr="007B0ED8">
        <w:rPr>
          <w:rFonts w:ascii="Times New Roman" w:hAnsi="Times New Roman" w:cs="Courier New"/>
          <w:sz w:val="24"/>
          <w:szCs w:val="24"/>
        </w:rPr>
        <w:t xml:space="preserve"> </w:t>
      </w:r>
      <w:r w:rsidR="00A04CB5" w:rsidRPr="007B0ED8">
        <w:rPr>
          <w:rFonts w:ascii="Times New Roman" w:hAnsi="Times New Roman" w:cs="Courier New"/>
          <w:sz w:val="24"/>
          <w:szCs w:val="24"/>
        </w:rPr>
        <w:t xml:space="preserve">Treenighetsdiskussionen var inte aktuell för manikéerna. </w:t>
      </w:r>
    </w:p>
    <w:p w:rsidR="002E0FDA" w:rsidRPr="007B0ED8" w:rsidRDefault="002E0FDA" w:rsidP="00DE13BC">
      <w:pPr>
        <w:rPr>
          <w:rFonts w:ascii="Times New Roman" w:hAnsi="Times New Roman" w:cs="Courier New"/>
          <w:sz w:val="24"/>
          <w:szCs w:val="24"/>
        </w:rPr>
      </w:pPr>
    </w:p>
    <w:p w:rsidR="00F60456" w:rsidRPr="007B0ED8" w:rsidRDefault="004852AB" w:rsidP="00DE13BC">
      <w:pPr>
        <w:rPr>
          <w:rFonts w:ascii="Times New Roman" w:hAnsi="Times New Roman" w:cs="Courier New"/>
          <w:sz w:val="24"/>
          <w:szCs w:val="24"/>
        </w:rPr>
      </w:pPr>
      <w:r w:rsidRPr="007B0ED8">
        <w:rPr>
          <w:rFonts w:ascii="Times New Roman" w:hAnsi="Times New Roman" w:cs="Courier New"/>
          <w:sz w:val="24"/>
          <w:szCs w:val="24"/>
        </w:rPr>
        <w:t>Manis uppenbarelser</w:t>
      </w:r>
      <w:r w:rsidR="00CC3588" w:rsidRPr="007B0ED8">
        <w:rPr>
          <w:rFonts w:ascii="Times New Roman" w:hAnsi="Times New Roman" w:cs="Courier New"/>
          <w:sz w:val="24"/>
          <w:szCs w:val="24"/>
        </w:rPr>
        <w:t xml:space="preserve"> var omfattande och genom dessa ansåg </w:t>
      </w:r>
      <w:r w:rsidRPr="007B0ED8">
        <w:rPr>
          <w:rFonts w:ascii="Times New Roman" w:hAnsi="Times New Roman" w:cs="Courier New"/>
          <w:sz w:val="24"/>
          <w:szCs w:val="24"/>
        </w:rPr>
        <w:t xml:space="preserve">han </w:t>
      </w:r>
      <w:r w:rsidR="00CC3588" w:rsidRPr="007B0ED8">
        <w:rPr>
          <w:rFonts w:ascii="Times New Roman" w:hAnsi="Times New Roman" w:cs="Courier New"/>
          <w:sz w:val="24"/>
          <w:szCs w:val="24"/>
        </w:rPr>
        <w:t xml:space="preserve">sig ha kunskap </w:t>
      </w:r>
      <w:r w:rsidR="004D1EAC" w:rsidRPr="007B0ED8">
        <w:rPr>
          <w:rFonts w:ascii="Times New Roman" w:hAnsi="Times New Roman" w:cs="Courier New"/>
          <w:sz w:val="24"/>
          <w:szCs w:val="24"/>
        </w:rPr>
        <w:t xml:space="preserve">om </w:t>
      </w:r>
      <w:r w:rsidR="00CC3588" w:rsidRPr="007B0ED8">
        <w:rPr>
          <w:rFonts w:ascii="Times New Roman" w:hAnsi="Times New Roman" w:cs="Courier New"/>
          <w:sz w:val="24"/>
          <w:szCs w:val="24"/>
        </w:rPr>
        <w:t>en mängd olika ting som vi idag skulle betecknat som naturvetenskapliga.</w:t>
      </w:r>
      <w:r w:rsidR="004D1EAC" w:rsidRPr="007B0ED8">
        <w:rPr>
          <w:rFonts w:ascii="Times New Roman" w:hAnsi="Times New Roman" w:cs="Courier New"/>
          <w:sz w:val="24"/>
          <w:szCs w:val="24"/>
        </w:rPr>
        <w:t xml:space="preserve"> </w:t>
      </w:r>
      <w:r w:rsidR="00BB6D36" w:rsidRPr="007B0ED8">
        <w:rPr>
          <w:rFonts w:ascii="Times New Roman" w:hAnsi="Times New Roman" w:cs="Courier New"/>
          <w:sz w:val="24"/>
          <w:szCs w:val="24"/>
        </w:rPr>
        <w:t>D</w:t>
      </w:r>
      <w:r w:rsidR="004D1EAC" w:rsidRPr="007B0ED8">
        <w:rPr>
          <w:rFonts w:ascii="Times New Roman" w:hAnsi="Times New Roman" w:cs="Courier New"/>
          <w:sz w:val="24"/>
          <w:szCs w:val="24"/>
        </w:rPr>
        <w:t xml:space="preserve">essa detaljer </w:t>
      </w:r>
      <w:r w:rsidR="004D1EAC" w:rsidRPr="007B0ED8">
        <w:rPr>
          <w:rFonts w:ascii="Times New Roman" w:hAnsi="Times New Roman" w:cs="Courier New"/>
          <w:sz w:val="24"/>
          <w:szCs w:val="24"/>
        </w:rPr>
        <w:lastRenderedPageBreak/>
        <w:t>införlivade</w:t>
      </w:r>
      <w:r w:rsidRPr="007B0ED8">
        <w:rPr>
          <w:rFonts w:ascii="Times New Roman" w:hAnsi="Times New Roman" w:cs="Courier New"/>
          <w:sz w:val="24"/>
          <w:szCs w:val="24"/>
        </w:rPr>
        <w:t>s</w:t>
      </w:r>
      <w:r w:rsidR="004D1EAC" w:rsidRPr="007B0ED8">
        <w:rPr>
          <w:rFonts w:ascii="Times New Roman" w:hAnsi="Times New Roman" w:cs="Courier New"/>
          <w:sz w:val="24"/>
          <w:szCs w:val="24"/>
        </w:rPr>
        <w:t xml:space="preserve"> </w:t>
      </w:r>
      <w:r w:rsidR="00BB6D36" w:rsidRPr="007B0ED8">
        <w:rPr>
          <w:rFonts w:ascii="Times New Roman" w:hAnsi="Times New Roman" w:cs="Courier New"/>
          <w:sz w:val="24"/>
          <w:szCs w:val="24"/>
        </w:rPr>
        <w:t>med</w:t>
      </w:r>
      <w:r w:rsidR="004D1EAC" w:rsidRPr="007B0ED8">
        <w:rPr>
          <w:rFonts w:ascii="Times New Roman" w:hAnsi="Times New Roman" w:cs="Courier New"/>
          <w:sz w:val="24"/>
          <w:szCs w:val="24"/>
        </w:rPr>
        <w:t xml:space="preserve"> Manis idéer om hur ”den ljusa materien” sk</w:t>
      </w:r>
      <w:r w:rsidR="00BB6D36" w:rsidRPr="007B0ED8">
        <w:rPr>
          <w:rFonts w:ascii="Times New Roman" w:hAnsi="Times New Roman" w:cs="Courier New"/>
          <w:sz w:val="24"/>
          <w:szCs w:val="24"/>
        </w:rPr>
        <w:t xml:space="preserve">ulle </w:t>
      </w:r>
      <w:r w:rsidR="004D1EAC" w:rsidRPr="007B0ED8">
        <w:rPr>
          <w:rFonts w:ascii="Times New Roman" w:hAnsi="Times New Roman" w:cs="Courier New"/>
          <w:sz w:val="24"/>
          <w:szCs w:val="24"/>
        </w:rPr>
        <w:t xml:space="preserve">kunna frigöras från den mörka. </w:t>
      </w:r>
      <w:r w:rsidR="00D62507" w:rsidRPr="007B0ED8">
        <w:rPr>
          <w:rFonts w:ascii="Times New Roman" w:hAnsi="Times New Roman" w:cs="Courier New"/>
          <w:sz w:val="24"/>
          <w:szCs w:val="24"/>
        </w:rPr>
        <w:t xml:space="preserve">På så vis får skapelsemyter som är </w:t>
      </w:r>
      <w:r w:rsidR="00BB6D36" w:rsidRPr="007B0ED8">
        <w:rPr>
          <w:rFonts w:ascii="Times New Roman" w:hAnsi="Times New Roman" w:cs="Courier New"/>
          <w:sz w:val="24"/>
          <w:szCs w:val="24"/>
        </w:rPr>
        <w:t xml:space="preserve">ämnade att vara </w:t>
      </w:r>
      <w:r w:rsidR="00D62507" w:rsidRPr="007B0ED8">
        <w:rPr>
          <w:rFonts w:ascii="Times New Roman" w:hAnsi="Times New Roman" w:cs="Courier New"/>
          <w:sz w:val="24"/>
          <w:szCs w:val="24"/>
        </w:rPr>
        <w:t>bokstavlig</w:t>
      </w:r>
      <w:r w:rsidR="00EC7A3F" w:rsidRPr="007B0ED8">
        <w:rPr>
          <w:rFonts w:ascii="Times New Roman" w:hAnsi="Times New Roman" w:cs="Courier New"/>
          <w:sz w:val="24"/>
          <w:szCs w:val="24"/>
        </w:rPr>
        <w:t>a</w:t>
      </w:r>
      <w:r w:rsidR="00D62507" w:rsidRPr="007B0ED8">
        <w:rPr>
          <w:rFonts w:ascii="Times New Roman" w:hAnsi="Times New Roman" w:cs="Courier New"/>
          <w:sz w:val="24"/>
          <w:szCs w:val="24"/>
        </w:rPr>
        <w:t xml:space="preserve"> </w:t>
      </w:r>
      <w:r w:rsidR="00BB6D36" w:rsidRPr="007B0ED8">
        <w:rPr>
          <w:rFonts w:ascii="Times New Roman" w:hAnsi="Times New Roman" w:cs="Courier New"/>
          <w:sz w:val="24"/>
          <w:szCs w:val="24"/>
        </w:rPr>
        <w:t>beskrivning</w:t>
      </w:r>
      <w:r w:rsidR="00EC7A3F" w:rsidRPr="007B0ED8">
        <w:rPr>
          <w:rFonts w:ascii="Times New Roman" w:hAnsi="Times New Roman" w:cs="Courier New"/>
          <w:sz w:val="24"/>
          <w:szCs w:val="24"/>
        </w:rPr>
        <w:t>ar</w:t>
      </w:r>
      <w:r w:rsidR="00BB6D36" w:rsidRPr="007B0ED8">
        <w:rPr>
          <w:rFonts w:ascii="Times New Roman" w:hAnsi="Times New Roman" w:cs="Courier New"/>
          <w:sz w:val="24"/>
          <w:szCs w:val="24"/>
        </w:rPr>
        <w:t xml:space="preserve"> av världens up</w:t>
      </w:r>
      <w:r w:rsidR="00EC7A3F" w:rsidRPr="007B0ED8">
        <w:rPr>
          <w:rFonts w:ascii="Times New Roman" w:hAnsi="Times New Roman" w:cs="Courier New"/>
          <w:sz w:val="24"/>
          <w:szCs w:val="24"/>
        </w:rPr>
        <w:t>p</w:t>
      </w:r>
      <w:r w:rsidR="00BB6D36" w:rsidRPr="007B0ED8">
        <w:rPr>
          <w:rFonts w:ascii="Times New Roman" w:hAnsi="Times New Roman" w:cs="Courier New"/>
          <w:sz w:val="24"/>
          <w:szCs w:val="24"/>
        </w:rPr>
        <w:t xml:space="preserve">komst </w:t>
      </w:r>
      <w:r w:rsidR="00D62507" w:rsidRPr="007B0ED8">
        <w:rPr>
          <w:rFonts w:ascii="Times New Roman" w:hAnsi="Times New Roman" w:cs="Courier New"/>
          <w:sz w:val="24"/>
          <w:szCs w:val="24"/>
        </w:rPr>
        <w:t xml:space="preserve">ofta </w:t>
      </w:r>
      <w:r w:rsidR="00BB6D36" w:rsidRPr="007B0ED8">
        <w:rPr>
          <w:rFonts w:ascii="Times New Roman" w:hAnsi="Times New Roman" w:cs="Courier New"/>
          <w:sz w:val="24"/>
          <w:szCs w:val="24"/>
        </w:rPr>
        <w:t>även normativ</w:t>
      </w:r>
      <w:r w:rsidR="00EC7A3F" w:rsidRPr="007B0ED8">
        <w:rPr>
          <w:rFonts w:ascii="Times New Roman" w:hAnsi="Times New Roman" w:cs="Courier New"/>
          <w:sz w:val="24"/>
          <w:szCs w:val="24"/>
        </w:rPr>
        <w:t>a</w:t>
      </w:r>
      <w:r w:rsidR="00BB6D36" w:rsidRPr="007B0ED8">
        <w:rPr>
          <w:rFonts w:ascii="Times New Roman" w:hAnsi="Times New Roman" w:cs="Courier New"/>
          <w:sz w:val="24"/>
          <w:szCs w:val="24"/>
        </w:rPr>
        <w:t xml:space="preserve"> </w:t>
      </w:r>
      <w:r w:rsidR="00D62507" w:rsidRPr="007B0ED8">
        <w:rPr>
          <w:rFonts w:ascii="Times New Roman" w:hAnsi="Times New Roman" w:cs="Courier New"/>
          <w:sz w:val="24"/>
          <w:szCs w:val="24"/>
        </w:rPr>
        <w:t>funktion</w:t>
      </w:r>
      <w:r w:rsidR="00EC7A3F" w:rsidRPr="007B0ED8">
        <w:rPr>
          <w:rFonts w:ascii="Times New Roman" w:hAnsi="Times New Roman" w:cs="Courier New"/>
          <w:sz w:val="24"/>
          <w:szCs w:val="24"/>
        </w:rPr>
        <w:t>er</w:t>
      </w:r>
      <w:r w:rsidR="00BB6D36" w:rsidRPr="007B0ED8">
        <w:rPr>
          <w:rFonts w:ascii="Times New Roman" w:hAnsi="Times New Roman" w:cs="Courier New"/>
          <w:sz w:val="24"/>
          <w:szCs w:val="24"/>
        </w:rPr>
        <w:t>.</w:t>
      </w:r>
      <w:r w:rsidR="00D62507" w:rsidRPr="007B0ED8">
        <w:rPr>
          <w:rFonts w:ascii="Times New Roman" w:hAnsi="Times New Roman" w:cs="Courier New"/>
          <w:sz w:val="24"/>
          <w:szCs w:val="24"/>
        </w:rPr>
        <w:t xml:space="preserve"> </w:t>
      </w:r>
      <w:r w:rsidR="004D1EAC" w:rsidRPr="007B0ED8">
        <w:rPr>
          <w:rFonts w:ascii="Times New Roman" w:hAnsi="Times New Roman" w:cs="Courier New"/>
          <w:sz w:val="24"/>
          <w:szCs w:val="24"/>
        </w:rPr>
        <w:t>Det har gjorts gällande att Manis iver att formulera ”</w:t>
      </w:r>
      <w:r w:rsidRPr="007B0ED8">
        <w:rPr>
          <w:rFonts w:ascii="Times New Roman" w:hAnsi="Times New Roman" w:cs="Courier New"/>
          <w:sz w:val="24"/>
          <w:szCs w:val="24"/>
        </w:rPr>
        <w:t xml:space="preserve">oföränderliga och </w:t>
      </w:r>
      <w:r w:rsidR="004D1EAC" w:rsidRPr="007B0ED8">
        <w:rPr>
          <w:rFonts w:ascii="Times New Roman" w:hAnsi="Times New Roman" w:cs="Courier New"/>
          <w:sz w:val="24"/>
          <w:szCs w:val="24"/>
        </w:rPr>
        <w:t>bokstavliga” sanningar om världen bidrog till att manikeismen gick under.</w:t>
      </w:r>
      <w:r w:rsidR="00D62507" w:rsidRPr="007B0ED8">
        <w:rPr>
          <w:rStyle w:val="Fotnotsreferens"/>
          <w:rFonts w:ascii="Times New Roman" w:hAnsi="Times New Roman" w:cs="Courier New"/>
          <w:sz w:val="24"/>
          <w:szCs w:val="24"/>
        </w:rPr>
        <w:footnoteReference w:id="26"/>
      </w:r>
      <w:r w:rsidR="009A47BC" w:rsidRPr="007B0ED8">
        <w:rPr>
          <w:rFonts w:ascii="Times New Roman" w:hAnsi="Times New Roman" w:cs="Courier New"/>
          <w:sz w:val="24"/>
          <w:szCs w:val="24"/>
        </w:rPr>
        <w:t xml:space="preserve"> Av t</w:t>
      </w:r>
      <w:r w:rsidR="00801993" w:rsidRPr="007B0ED8">
        <w:rPr>
          <w:rFonts w:ascii="Times New Roman" w:hAnsi="Times New Roman" w:cs="Courier New"/>
          <w:sz w:val="24"/>
          <w:szCs w:val="24"/>
        </w:rPr>
        <w:t xml:space="preserve">re </w:t>
      </w:r>
      <w:r w:rsidR="009A47BC" w:rsidRPr="007B0ED8">
        <w:rPr>
          <w:rFonts w:ascii="Times New Roman" w:hAnsi="Times New Roman" w:cs="Courier New"/>
          <w:sz w:val="24"/>
          <w:szCs w:val="24"/>
        </w:rPr>
        <w:t>skäl har jag svårt att hål</w:t>
      </w:r>
      <w:r w:rsidR="00B439FD" w:rsidRPr="007B0ED8">
        <w:rPr>
          <w:rFonts w:ascii="Times New Roman" w:hAnsi="Times New Roman" w:cs="Courier New"/>
          <w:sz w:val="24"/>
          <w:szCs w:val="24"/>
        </w:rPr>
        <w:t>l</w:t>
      </w:r>
      <w:r w:rsidR="009A47BC" w:rsidRPr="007B0ED8">
        <w:rPr>
          <w:rFonts w:ascii="Times New Roman" w:hAnsi="Times New Roman" w:cs="Courier New"/>
          <w:sz w:val="24"/>
          <w:szCs w:val="24"/>
        </w:rPr>
        <w:t xml:space="preserve">a med om det. Först och främst verkar det </w:t>
      </w:r>
      <w:r w:rsidR="00B439FD" w:rsidRPr="007B0ED8">
        <w:rPr>
          <w:rFonts w:ascii="Times New Roman" w:hAnsi="Times New Roman" w:cs="Courier New"/>
          <w:sz w:val="24"/>
          <w:szCs w:val="24"/>
        </w:rPr>
        <w:t>i</w:t>
      </w:r>
      <w:r w:rsidR="009A47BC" w:rsidRPr="007B0ED8">
        <w:rPr>
          <w:rFonts w:ascii="Times New Roman" w:hAnsi="Times New Roman" w:cs="Courier New"/>
          <w:sz w:val="24"/>
          <w:szCs w:val="24"/>
        </w:rPr>
        <w:t>nte som att manikeismen gick under på grund av att folk inte ansl</w:t>
      </w:r>
      <w:r w:rsidR="00B439FD" w:rsidRPr="007B0ED8">
        <w:rPr>
          <w:rFonts w:ascii="Times New Roman" w:hAnsi="Times New Roman" w:cs="Courier New"/>
          <w:sz w:val="24"/>
          <w:szCs w:val="24"/>
        </w:rPr>
        <w:t>ö</w:t>
      </w:r>
      <w:r w:rsidR="009A47BC" w:rsidRPr="007B0ED8">
        <w:rPr>
          <w:rFonts w:ascii="Times New Roman" w:hAnsi="Times New Roman" w:cs="Courier New"/>
          <w:sz w:val="24"/>
          <w:szCs w:val="24"/>
        </w:rPr>
        <w:t>t sig ti</w:t>
      </w:r>
      <w:r w:rsidR="00B439FD" w:rsidRPr="007B0ED8">
        <w:rPr>
          <w:rFonts w:ascii="Times New Roman" w:hAnsi="Times New Roman" w:cs="Courier New"/>
          <w:sz w:val="24"/>
          <w:szCs w:val="24"/>
        </w:rPr>
        <w:t>l</w:t>
      </w:r>
      <w:r w:rsidR="009A47BC" w:rsidRPr="007B0ED8">
        <w:rPr>
          <w:rFonts w:ascii="Times New Roman" w:hAnsi="Times New Roman" w:cs="Courier New"/>
          <w:sz w:val="24"/>
          <w:szCs w:val="24"/>
        </w:rPr>
        <w:t xml:space="preserve">l den, utan på grund av att dess anhängare utsattes för våld. </w:t>
      </w:r>
      <w:r w:rsidR="001D0CEC" w:rsidRPr="007B0ED8">
        <w:rPr>
          <w:rFonts w:ascii="Times New Roman" w:hAnsi="Times New Roman" w:cs="Courier New"/>
          <w:sz w:val="24"/>
          <w:szCs w:val="24"/>
        </w:rPr>
        <w:t xml:space="preserve">För det andra har vi skäl att anta </w:t>
      </w:r>
      <w:r w:rsidR="009A47BC" w:rsidRPr="007B0ED8">
        <w:rPr>
          <w:rFonts w:ascii="Times New Roman" w:hAnsi="Times New Roman" w:cs="Courier New"/>
          <w:sz w:val="24"/>
          <w:szCs w:val="24"/>
        </w:rPr>
        <w:t>att missionärer av läran främst såg till riternas utövn</w:t>
      </w:r>
      <w:r w:rsidR="00B439FD" w:rsidRPr="007B0ED8">
        <w:rPr>
          <w:rFonts w:ascii="Times New Roman" w:hAnsi="Times New Roman" w:cs="Courier New"/>
          <w:sz w:val="24"/>
          <w:szCs w:val="24"/>
        </w:rPr>
        <w:t>i</w:t>
      </w:r>
      <w:r w:rsidR="009A47BC" w:rsidRPr="007B0ED8">
        <w:rPr>
          <w:rFonts w:ascii="Times New Roman" w:hAnsi="Times New Roman" w:cs="Courier New"/>
          <w:sz w:val="24"/>
          <w:szCs w:val="24"/>
        </w:rPr>
        <w:t xml:space="preserve">ng och var mer </w:t>
      </w:r>
      <w:r w:rsidR="00B439FD" w:rsidRPr="007B0ED8">
        <w:rPr>
          <w:rFonts w:ascii="Times New Roman" w:hAnsi="Times New Roman" w:cs="Courier New"/>
          <w:sz w:val="24"/>
          <w:szCs w:val="24"/>
        </w:rPr>
        <w:t>l</w:t>
      </w:r>
      <w:r w:rsidR="009A47BC" w:rsidRPr="007B0ED8">
        <w:rPr>
          <w:rFonts w:ascii="Times New Roman" w:hAnsi="Times New Roman" w:cs="Courier New"/>
          <w:sz w:val="24"/>
          <w:szCs w:val="24"/>
        </w:rPr>
        <w:t>iberala när det gällde smärre detaljer i kosmologiska frågor.</w:t>
      </w:r>
      <w:r w:rsidR="00062C83" w:rsidRPr="007B0ED8">
        <w:rPr>
          <w:rStyle w:val="Fotnotsreferens"/>
          <w:rFonts w:ascii="Times New Roman" w:hAnsi="Times New Roman" w:cs="Courier New"/>
          <w:sz w:val="24"/>
          <w:szCs w:val="24"/>
        </w:rPr>
        <w:footnoteReference w:id="27"/>
      </w:r>
      <w:r w:rsidR="00B439FD" w:rsidRPr="007B0ED8">
        <w:rPr>
          <w:rFonts w:ascii="Times New Roman" w:hAnsi="Times New Roman" w:cs="Courier New"/>
          <w:sz w:val="24"/>
          <w:szCs w:val="24"/>
        </w:rPr>
        <w:t xml:space="preserve"> </w:t>
      </w:r>
      <w:r w:rsidR="007563F7" w:rsidRPr="007B0ED8">
        <w:rPr>
          <w:rFonts w:ascii="Times New Roman" w:hAnsi="Times New Roman" w:cs="Courier New"/>
          <w:sz w:val="24"/>
          <w:szCs w:val="24"/>
        </w:rPr>
        <w:t>A</w:t>
      </w:r>
      <w:r w:rsidR="00472555" w:rsidRPr="007B0ED8">
        <w:rPr>
          <w:rFonts w:ascii="Times New Roman" w:hAnsi="Times New Roman" w:cs="Courier New"/>
          <w:sz w:val="24"/>
          <w:szCs w:val="24"/>
        </w:rPr>
        <w:t xml:space="preserve">nalysen som vi möter i slutet av den här artikeln </w:t>
      </w:r>
      <w:r w:rsidR="007563F7" w:rsidRPr="007B0ED8">
        <w:rPr>
          <w:rFonts w:ascii="Times New Roman" w:hAnsi="Times New Roman" w:cs="Courier New"/>
          <w:sz w:val="24"/>
          <w:szCs w:val="24"/>
        </w:rPr>
        <w:t xml:space="preserve">visar </w:t>
      </w:r>
      <w:r w:rsidR="00472555" w:rsidRPr="007B0ED8">
        <w:rPr>
          <w:rFonts w:ascii="Times New Roman" w:hAnsi="Times New Roman" w:cs="Courier New"/>
          <w:sz w:val="24"/>
          <w:szCs w:val="24"/>
        </w:rPr>
        <w:t xml:space="preserve">även på stor </w:t>
      </w:r>
      <w:r w:rsidR="007563F7" w:rsidRPr="007B0ED8">
        <w:rPr>
          <w:rFonts w:ascii="Times New Roman" w:hAnsi="Times New Roman" w:cs="Courier New"/>
          <w:sz w:val="24"/>
          <w:szCs w:val="24"/>
        </w:rPr>
        <w:t xml:space="preserve">manikeisk </w:t>
      </w:r>
      <w:r w:rsidR="00472555" w:rsidRPr="007B0ED8">
        <w:rPr>
          <w:rFonts w:ascii="Times New Roman" w:hAnsi="Times New Roman" w:cs="Courier New"/>
          <w:sz w:val="24"/>
          <w:szCs w:val="24"/>
        </w:rPr>
        <w:t xml:space="preserve">flexibilitet </w:t>
      </w:r>
      <w:r w:rsidR="007563F7" w:rsidRPr="007B0ED8">
        <w:rPr>
          <w:rFonts w:ascii="Times New Roman" w:hAnsi="Times New Roman" w:cs="Courier New"/>
          <w:sz w:val="24"/>
          <w:szCs w:val="24"/>
        </w:rPr>
        <w:t xml:space="preserve">i etiska </w:t>
      </w:r>
      <w:r w:rsidR="00D63E05" w:rsidRPr="007B0ED8">
        <w:rPr>
          <w:rFonts w:ascii="Times New Roman" w:hAnsi="Times New Roman" w:cs="Courier New"/>
          <w:sz w:val="24"/>
          <w:szCs w:val="24"/>
        </w:rPr>
        <w:t>spörsmål</w:t>
      </w:r>
      <w:r w:rsidR="007563F7" w:rsidRPr="007B0ED8">
        <w:rPr>
          <w:rFonts w:ascii="Times New Roman" w:hAnsi="Times New Roman" w:cs="Courier New"/>
          <w:sz w:val="24"/>
          <w:szCs w:val="24"/>
        </w:rPr>
        <w:t>. E</w:t>
      </w:r>
      <w:r w:rsidR="00472555" w:rsidRPr="007B0ED8">
        <w:rPr>
          <w:rFonts w:ascii="Times New Roman" w:hAnsi="Times New Roman" w:cs="Courier New"/>
          <w:sz w:val="24"/>
          <w:szCs w:val="24"/>
        </w:rPr>
        <w:t>xe</w:t>
      </w:r>
      <w:r w:rsidR="007563F7" w:rsidRPr="007B0ED8">
        <w:rPr>
          <w:rFonts w:ascii="Times New Roman" w:hAnsi="Times New Roman" w:cs="Courier New"/>
          <w:sz w:val="24"/>
          <w:szCs w:val="24"/>
        </w:rPr>
        <w:t>m</w:t>
      </w:r>
      <w:r w:rsidR="00472555" w:rsidRPr="007B0ED8">
        <w:rPr>
          <w:rFonts w:ascii="Times New Roman" w:hAnsi="Times New Roman" w:cs="Courier New"/>
          <w:sz w:val="24"/>
          <w:szCs w:val="24"/>
        </w:rPr>
        <w:t xml:space="preserve">pelvis </w:t>
      </w:r>
      <w:r w:rsidR="007563F7" w:rsidRPr="007B0ED8">
        <w:rPr>
          <w:rFonts w:ascii="Times New Roman" w:hAnsi="Times New Roman" w:cs="Courier New"/>
          <w:sz w:val="24"/>
          <w:szCs w:val="24"/>
        </w:rPr>
        <w:t xml:space="preserve">talar </w:t>
      </w:r>
      <w:proofErr w:type="spellStart"/>
      <w:r w:rsidR="007563F7" w:rsidRPr="007B0ED8">
        <w:rPr>
          <w:rFonts w:ascii="Times New Roman" w:hAnsi="Times New Roman" w:cs="Courier New"/>
          <w:sz w:val="24"/>
          <w:szCs w:val="24"/>
        </w:rPr>
        <w:t>kellismaterialet</w:t>
      </w:r>
      <w:proofErr w:type="spellEnd"/>
      <w:r w:rsidR="007563F7" w:rsidRPr="007B0ED8">
        <w:rPr>
          <w:rFonts w:ascii="Times New Roman" w:hAnsi="Times New Roman" w:cs="Courier New"/>
          <w:sz w:val="24"/>
          <w:szCs w:val="24"/>
        </w:rPr>
        <w:t xml:space="preserve"> för att man inte tog </w:t>
      </w:r>
      <w:r w:rsidR="00472555" w:rsidRPr="007B0ED8">
        <w:rPr>
          <w:rFonts w:ascii="Times New Roman" w:hAnsi="Times New Roman" w:cs="Courier New"/>
          <w:sz w:val="24"/>
          <w:szCs w:val="24"/>
        </w:rPr>
        <w:t xml:space="preserve">fasthållandet vid </w:t>
      </w:r>
      <w:r w:rsidR="007563F7" w:rsidRPr="007B0ED8">
        <w:rPr>
          <w:rFonts w:ascii="Times New Roman" w:hAnsi="Times New Roman" w:cs="Courier New"/>
          <w:sz w:val="24"/>
          <w:szCs w:val="24"/>
        </w:rPr>
        <w:t xml:space="preserve">strikta påbud om barnbegränsning så alvarligt att det hotade familjens framtid. </w:t>
      </w:r>
      <w:r w:rsidR="00D87E20" w:rsidRPr="007B0ED8">
        <w:rPr>
          <w:rFonts w:ascii="Times New Roman" w:hAnsi="Times New Roman" w:cs="Courier New"/>
          <w:sz w:val="24"/>
          <w:szCs w:val="24"/>
        </w:rPr>
        <w:t xml:space="preserve">För det </w:t>
      </w:r>
      <w:r w:rsidR="00882B5F" w:rsidRPr="007B0ED8">
        <w:rPr>
          <w:rFonts w:ascii="Times New Roman" w:hAnsi="Times New Roman" w:cs="Courier New"/>
          <w:sz w:val="24"/>
          <w:szCs w:val="24"/>
        </w:rPr>
        <w:t>t</w:t>
      </w:r>
      <w:r w:rsidR="00D87E20" w:rsidRPr="007B0ED8">
        <w:rPr>
          <w:rFonts w:ascii="Times New Roman" w:hAnsi="Times New Roman" w:cs="Courier New"/>
          <w:sz w:val="24"/>
          <w:szCs w:val="24"/>
        </w:rPr>
        <w:t xml:space="preserve">redje ingår den ovan anförda hypotesen i en intellektualiserande diskurs där segrarna ofta vill beskriva en historisk utveckling som en </w:t>
      </w:r>
      <w:r w:rsidR="00882B5F" w:rsidRPr="007B0ED8">
        <w:rPr>
          <w:rFonts w:ascii="Times New Roman" w:hAnsi="Times New Roman" w:cs="Courier New"/>
          <w:sz w:val="24"/>
          <w:szCs w:val="24"/>
        </w:rPr>
        <w:t xml:space="preserve">följd </w:t>
      </w:r>
      <w:r w:rsidR="00D87E20" w:rsidRPr="007B0ED8">
        <w:rPr>
          <w:rFonts w:ascii="Times New Roman" w:hAnsi="Times New Roman" w:cs="Courier New"/>
          <w:sz w:val="24"/>
          <w:szCs w:val="24"/>
        </w:rPr>
        <w:t xml:space="preserve">av den egna lärans intellektuella överlägsenhet. </w:t>
      </w:r>
      <w:r w:rsidR="00763744" w:rsidRPr="007B0ED8">
        <w:rPr>
          <w:rFonts w:ascii="Times New Roman" w:hAnsi="Times New Roman" w:cs="Courier New"/>
          <w:sz w:val="24"/>
          <w:szCs w:val="24"/>
        </w:rPr>
        <w:t>A</w:t>
      </w:r>
      <w:r w:rsidR="00882B5F" w:rsidRPr="007B0ED8">
        <w:rPr>
          <w:rFonts w:ascii="Times New Roman" w:hAnsi="Times New Roman" w:cs="Courier New"/>
          <w:sz w:val="24"/>
          <w:szCs w:val="24"/>
        </w:rPr>
        <w:t xml:space="preserve">lla läror som överlever i olika kontexter under en längre tid genomgår </w:t>
      </w:r>
      <w:r w:rsidR="00F60456" w:rsidRPr="007B0ED8">
        <w:rPr>
          <w:rFonts w:ascii="Times New Roman" w:hAnsi="Times New Roman" w:cs="Courier New"/>
          <w:sz w:val="24"/>
          <w:szCs w:val="24"/>
        </w:rPr>
        <w:t>anpassning</w:t>
      </w:r>
      <w:r w:rsidR="00882B5F" w:rsidRPr="007B0ED8">
        <w:rPr>
          <w:rFonts w:ascii="Times New Roman" w:hAnsi="Times New Roman" w:cs="Courier New"/>
          <w:sz w:val="24"/>
          <w:szCs w:val="24"/>
        </w:rPr>
        <w:t>ar</w:t>
      </w:r>
      <w:r w:rsidR="00F60456" w:rsidRPr="007B0ED8">
        <w:rPr>
          <w:rFonts w:ascii="Times New Roman" w:hAnsi="Times New Roman" w:cs="Courier New"/>
          <w:sz w:val="24"/>
          <w:szCs w:val="24"/>
        </w:rPr>
        <w:t xml:space="preserve"> till de världsliga realitetern</w:t>
      </w:r>
      <w:r w:rsidR="00763744" w:rsidRPr="007B0ED8">
        <w:rPr>
          <w:rFonts w:ascii="Times New Roman" w:hAnsi="Times New Roman" w:cs="Courier New"/>
          <w:sz w:val="24"/>
          <w:szCs w:val="24"/>
        </w:rPr>
        <w:t>a.</w:t>
      </w:r>
      <w:r w:rsidR="00F60456" w:rsidRPr="007B0ED8">
        <w:rPr>
          <w:rStyle w:val="Fotnotsreferens"/>
          <w:rFonts w:ascii="Times New Roman" w:hAnsi="Times New Roman" w:cs="Courier New"/>
          <w:sz w:val="24"/>
          <w:szCs w:val="24"/>
        </w:rPr>
        <w:footnoteReference w:id="28"/>
      </w:r>
      <w:r w:rsidR="00F60456" w:rsidRPr="007B0ED8">
        <w:rPr>
          <w:rFonts w:ascii="Times New Roman" w:hAnsi="Times New Roman" w:cs="Courier New"/>
          <w:sz w:val="24"/>
          <w:szCs w:val="24"/>
        </w:rPr>
        <w:t xml:space="preserve"> </w:t>
      </w:r>
      <w:r w:rsidR="00763744" w:rsidRPr="007B0ED8">
        <w:rPr>
          <w:rFonts w:ascii="Times New Roman" w:hAnsi="Times New Roman" w:cs="Courier New"/>
          <w:sz w:val="24"/>
          <w:szCs w:val="24"/>
        </w:rPr>
        <w:t xml:space="preserve">Även </w:t>
      </w:r>
      <w:r w:rsidR="00F60456" w:rsidRPr="007B0ED8">
        <w:rPr>
          <w:rFonts w:ascii="Times New Roman" w:hAnsi="Times New Roman" w:cs="Courier New"/>
          <w:sz w:val="24"/>
          <w:szCs w:val="24"/>
        </w:rPr>
        <w:t xml:space="preserve">de som ser ett budskap som en absolut sanning tolkar det </w:t>
      </w:r>
      <w:r w:rsidR="0043394B" w:rsidRPr="007B0ED8">
        <w:rPr>
          <w:rFonts w:ascii="Times New Roman" w:hAnsi="Times New Roman" w:cs="Courier New"/>
          <w:sz w:val="24"/>
          <w:szCs w:val="24"/>
        </w:rPr>
        <w:t>med nödv</w:t>
      </w:r>
      <w:r w:rsidR="00763744" w:rsidRPr="007B0ED8">
        <w:rPr>
          <w:rFonts w:ascii="Times New Roman" w:hAnsi="Times New Roman" w:cs="Courier New"/>
          <w:sz w:val="24"/>
          <w:szCs w:val="24"/>
        </w:rPr>
        <w:t xml:space="preserve">ändighet </w:t>
      </w:r>
      <w:r w:rsidR="00F60456" w:rsidRPr="007B0ED8">
        <w:rPr>
          <w:rFonts w:ascii="Times New Roman" w:hAnsi="Times New Roman" w:cs="Courier New"/>
          <w:sz w:val="24"/>
          <w:szCs w:val="24"/>
        </w:rPr>
        <w:t xml:space="preserve">utifrån sin kontext med resultat som budskapets avsändare inte kunnat förutse. </w:t>
      </w:r>
      <w:r w:rsidR="00B439FD" w:rsidRPr="007B0ED8">
        <w:rPr>
          <w:rFonts w:ascii="Times New Roman" w:hAnsi="Times New Roman" w:cs="Courier New"/>
          <w:sz w:val="24"/>
          <w:szCs w:val="24"/>
        </w:rPr>
        <w:t>Den religionsgrundare som tror sig ha evig kontroll över vad folk ska tänka och tro löper stor risk att bli grymt besviken.</w:t>
      </w:r>
      <w:r w:rsidR="00423BDA" w:rsidRPr="007B0ED8">
        <w:rPr>
          <w:rFonts w:ascii="Times New Roman" w:hAnsi="Times New Roman" w:cs="Courier New"/>
          <w:sz w:val="24"/>
          <w:szCs w:val="24"/>
        </w:rPr>
        <w:t xml:space="preserve"> Att manike</w:t>
      </w:r>
      <w:r w:rsidR="00763744" w:rsidRPr="007B0ED8">
        <w:rPr>
          <w:rFonts w:ascii="Times New Roman" w:hAnsi="Times New Roman" w:cs="Courier New"/>
          <w:sz w:val="24"/>
          <w:szCs w:val="24"/>
        </w:rPr>
        <w:t xml:space="preserve">ismen </w:t>
      </w:r>
      <w:r w:rsidR="00AA06D9" w:rsidRPr="007B0ED8">
        <w:rPr>
          <w:rFonts w:ascii="Times New Roman" w:hAnsi="Times New Roman" w:cs="Courier New"/>
          <w:sz w:val="24"/>
          <w:szCs w:val="24"/>
        </w:rPr>
        <w:t>var framgån</w:t>
      </w:r>
      <w:r w:rsidR="00763744" w:rsidRPr="007B0ED8">
        <w:rPr>
          <w:rFonts w:ascii="Times New Roman" w:hAnsi="Times New Roman" w:cs="Courier New"/>
          <w:sz w:val="24"/>
          <w:szCs w:val="24"/>
        </w:rPr>
        <w:t xml:space="preserve">gsrik så länge vittnar om manikéiska myters förmåga att skapa mening i olika kontexter. </w:t>
      </w:r>
    </w:p>
    <w:p w:rsidR="001D0CEC" w:rsidRPr="007B0ED8" w:rsidRDefault="001D0CEC" w:rsidP="00DE13BC">
      <w:pPr>
        <w:rPr>
          <w:rFonts w:ascii="Times New Roman" w:hAnsi="Times New Roman" w:cs="Courier New"/>
          <w:sz w:val="24"/>
          <w:szCs w:val="24"/>
        </w:rPr>
      </w:pPr>
    </w:p>
    <w:p w:rsidR="0087612F" w:rsidRPr="007B0ED8" w:rsidRDefault="00F60456" w:rsidP="00DE13BC">
      <w:pPr>
        <w:rPr>
          <w:rFonts w:ascii="Times New Roman" w:hAnsi="Times New Roman" w:cs="Courier New"/>
          <w:sz w:val="24"/>
          <w:szCs w:val="24"/>
        </w:rPr>
      </w:pPr>
      <w:r w:rsidRPr="007B0ED8">
        <w:rPr>
          <w:rFonts w:ascii="Times New Roman" w:hAnsi="Times New Roman" w:cs="Courier New"/>
          <w:sz w:val="24"/>
          <w:szCs w:val="24"/>
        </w:rPr>
        <w:t xml:space="preserve">En grundläggande princip inom manikeismen är en skarp dualism. </w:t>
      </w:r>
      <w:r w:rsidR="00C937FB" w:rsidRPr="007B0ED8">
        <w:rPr>
          <w:rFonts w:ascii="Times New Roman" w:hAnsi="Times New Roman" w:cs="Courier New"/>
          <w:sz w:val="24"/>
          <w:szCs w:val="24"/>
        </w:rPr>
        <w:t>Enligt manikeisk mytologi finns f</w:t>
      </w:r>
      <w:r w:rsidRPr="007B0ED8">
        <w:rPr>
          <w:rFonts w:ascii="Times New Roman" w:hAnsi="Times New Roman" w:cs="Courier New"/>
          <w:sz w:val="24"/>
          <w:szCs w:val="24"/>
        </w:rPr>
        <w:t>rån början två av varandra oberoende sfärer</w:t>
      </w:r>
      <w:r w:rsidR="00DC0548" w:rsidRPr="007B0ED8">
        <w:rPr>
          <w:rFonts w:ascii="Times New Roman" w:hAnsi="Times New Roman" w:cs="Courier New"/>
          <w:sz w:val="24"/>
          <w:szCs w:val="24"/>
        </w:rPr>
        <w:t>,</w:t>
      </w:r>
      <w:r w:rsidRPr="007B0ED8">
        <w:rPr>
          <w:rFonts w:ascii="Times New Roman" w:hAnsi="Times New Roman" w:cs="Courier New"/>
          <w:sz w:val="24"/>
          <w:szCs w:val="24"/>
        </w:rPr>
        <w:t xml:space="preserve"> </w:t>
      </w:r>
      <w:r w:rsidR="00DC0548" w:rsidRPr="007B0ED8">
        <w:rPr>
          <w:rFonts w:ascii="Times New Roman" w:hAnsi="Times New Roman" w:cs="Courier New"/>
          <w:sz w:val="24"/>
          <w:szCs w:val="24"/>
        </w:rPr>
        <w:t>d</w:t>
      </w:r>
      <w:r w:rsidRPr="007B0ED8">
        <w:rPr>
          <w:rFonts w:ascii="Times New Roman" w:hAnsi="Times New Roman" w:cs="Courier New"/>
          <w:sz w:val="24"/>
          <w:szCs w:val="24"/>
        </w:rPr>
        <w:t xml:space="preserve">en ljusa </w:t>
      </w:r>
      <w:r w:rsidR="00DC0548" w:rsidRPr="007B0ED8">
        <w:rPr>
          <w:rFonts w:ascii="Times New Roman" w:hAnsi="Times New Roman" w:cs="Courier New"/>
          <w:sz w:val="24"/>
          <w:szCs w:val="24"/>
        </w:rPr>
        <w:t>och den mörka. Dessa åtskiljdes av en skarp gräns så a</w:t>
      </w:r>
      <w:r w:rsidR="005F7815" w:rsidRPr="007B0ED8">
        <w:rPr>
          <w:rFonts w:ascii="Times New Roman" w:hAnsi="Times New Roman" w:cs="Courier New"/>
          <w:sz w:val="24"/>
          <w:szCs w:val="24"/>
        </w:rPr>
        <w:t>t</w:t>
      </w:r>
      <w:r w:rsidR="00DC0548" w:rsidRPr="007B0ED8">
        <w:rPr>
          <w:rFonts w:ascii="Times New Roman" w:hAnsi="Times New Roman" w:cs="Courier New"/>
          <w:sz w:val="24"/>
          <w:szCs w:val="24"/>
        </w:rPr>
        <w:t xml:space="preserve">t den ljusa sfären omfattade större delen av världen. I begynnelsen råder Storhetens Fader över den ljusa sfären som också är </w:t>
      </w:r>
      <w:r w:rsidR="001A7EB1" w:rsidRPr="007B0ED8">
        <w:rPr>
          <w:rFonts w:ascii="Times New Roman" w:hAnsi="Times New Roman" w:cs="Courier New"/>
          <w:sz w:val="24"/>
          <w:szCs w:val="24"/>
        </w:rPr>
        <w:t>hans egen utsträckning</w:t>
      </w:r>
      <w:r w:rsidR="00102EFC" w:rsidRPr="007B0ED8">
        <w:rPr>
          <w:rFonts w:ascii="Times New Roman" w:hAnsi="Times New Roman" w:cs="Courier New"/>
          <w:sz w:val="24"/>
          <w:szCs w:val="24"/>
        </w:rPr>
        <w:t>.</w:t>
      </w:r>
      <w:r w:rsidR="001A7EB1" w:rsidRPr="007B0ED8">
        <w:rPr>
          <w:rFonts w:ascii="Times New Roman" w:hAnsi="Times New Roman" w:cs="Courier New"/>
          <w:sz w:val="24"/>
          <w:szCs w:val="24"/>
        </w:rPr>
        <w:t xml:space="preserve"> Det som kännetecknar denna sfär är således också Faderns attribut. Den är </w:t>
      </w:r>
      <w:r w:rsidR="00102EFC" w:rsidRPr="007B0ED8">
        <w:rPr>
          <w:rFonts w:ascii="Times New Roman" w:hAnsi="Times New Roman" w:cs="Courier New"/>
          <w:sz w:val="24"/>
          <w:szCs w:val="24"/>
        </w:rPr>
        <w:t>ren, ljus, st</w:t>
      </w:r>
      <w:r w:rsidR="001A7EB1" w:rsidRPr="007B0ED8">
        <w:rPr>
          <w:rFonts w:ascii="Times New Roman" w:hAnsi="Times New Roman" w:cs="Courier New"/>
          <w:sz w:val="24"/>
          <w:szCs w:val="24"/>
        </w:rPr>
        <w:t>a</w:t>
      </w:r>
      <w:r w:rsidR="00102EFC" w:rsidRPr="007B0ED8">
        <w:rPr>
          <w:rFonts w:ascii="Times New Roman" w:hAnsi="Times New Roman" w:cs="Courier New"/>
          <w:sz w:val="24"/>
          <w:szCs w:val="24"/>
        </w:rPr>
        <w:t>rk och vis.</w:t>
      </w:r>
      <w:r w:rsidR="00E44419" w:rsidRPr="007B0ED8">
        <w:rPr>
          <w:rFonts w:ascii="Times New Roman" w:hAnsi="Times New Roman" w:cs="Courier New"/>
          <w:sz w:val="24"/>
          <w:szCs w:val="24"/>
        </w:rPr>
        <w:t xml:space="preserve"> </w:t>
      </w:r>
      <w:r w:rsidR="00040953" w:rsidRPr="007B0ED8">
        <w:rPr>
          <w:rFonts w:ascii="Times New Roman" w:hAnsi="Times New Roman" w:cs="Courier New"/>
          <w:sz w:val="24"/>
          <w:szCs w:val="24"/>
        </w:rPr>
        <w:t xml:space="preserve">Den ljusa sfären består vidare av </w:t>
      </w:r>
      <w:r w:rsidR="001A7EB1" w:rsidRPr="007B0ED8">
        <w:rPr>
          <w:rFonts w:ascii="Times New Roman" w:hAnsi="Times New Roman" w:cs="Courier New"/>
          <w:sz w:val="24"/>
          <w:szCs w:val="24"/>
        </w:rPr>
        <w:t>de fem ljusa elementen levande luft, ljus, vind, vatten och eld.</w:t>
      </w:r>
      <w:r w:rsidR="008C4540" w:rsidRPr="007B0ED8">
        <w:rPr>
          <w:rFonts w:ascii="Times New Roman" w:hAnsi="Times New Roman" w:cs="Courier New"/>
          <w:sz w:val="24"/>
          <w:szCs w:val="24"/>
        </w:rPr>
        <w:t xml:space="preserve"> Söder om ljusets rike råde</w:t>
      </w:r>
      <w:r w:rsidR="004F6CC6" w:rsidRPr="007B0ED8">
        <w:rPr>
          <w:rFonts w:ascii="Times New Roman" w:hAnsi="Times New Roman" w:cs="Courier New"/>
          <w:sz w:val="24"/>
          <w:szCs w:val="24"/>
        </w:rPr>
        <w:t xml:space="preserve">r mörkrets monark </w:t>
      </w:r>
      <w:r w:rsidR="001742F9" w:rsidRPr="007B0ED8">
        <w:rPr>
          <w:rFonts w:ascii="Times New Roman" w:hAnsi="Times New Roman" w:cs="Courier New"/>
          <w:sz w:val="24"/>
          <w:szCs w:val="24"/>
        </w:rPr>
        <w:t xml:space="preserve">tillsammans med sina fem söner </w:t>
      </w:r>
      <w:r w:rsidR="004F6CC6" w:rsidRPr="007B0ED8">
        <w:rPr>
          <w:rFonts w:ascii="Times New Roman" w:hAnsi="Times New Roman" w:cs="Courier New"/>
          <w:sz w:val="24"/>
          <w:szCs w:val="24"/>
        </w:rPr>
        <w:t>över sitt territorium. Även här har vi fem element, rök, mörker, eld, vatten och vind.</w:t>
      </w:r>
      <w:r w:rsidR="00281351" w:rsidRPr="007B0ED8">
        <w:rPr>
          <w:rFonts w:ascii="Times New Roman" w:hAnsi="Times New Roman" w:cs="Courier New"/>
          <w:sz w:val="24"/>
          <w:szCs w:val="24"/>
        </w:rPr>
        <w:t xml:space="preserve"> Tvåbenta varelser kommer från röken, ormarna från mörkret, fyrfotingar från elden, simmande från vattnet och flygande från vinden.</w:t>
      </w:r>
    </w:p>
    <w:p w:rsidR="0087612F" w:rsidRPr="007B0ED8" w:rsidRDefault="0087612F" w:rsidP="00DE13BC">
      <w:pPr>
        <w:rPr>
          <w:rFonts w:ascii="Times New Roman" w:hAnsi="Times New Roman" w:cs="Courier New"/>
          <w:sz w:val="24"/>
          <w:szCs w:val="24"/>
        </w:rPr>
      </w:pPr>
    </w:p>
    <w:p w:rsidR="001249E7" w:rsidRPr="007B0ED8" w:rsidRDefault="00633F94" w:rsidP="002B6AF8">
      <w:pPr>
        <w:rPr>
          <w:rFonts w:ascii="Times New Roman" w:hAnsi="Times New Roman" w:cs="Courier New"/>
          <w:sz w:val="24"/>
          <w:szCs w:val="24"/>
        </w:rPr>
      </w:pPr>
      <w:r w:rsidRPr="007B0ED8">
        <w:rPr>
          <w:rFonts w:ascii="Times New Roman" w:hAnsi="Times New Roman" w:cs="Courier New"/>
          <w:sz w:val="24"/>
          <w:szCs w:val="24"/>
        </w:rPr>
        <w:t xml:space="preserve">Mörkrets sfär vill nu komma i </w:t>
      </w:r>
      <w:proofErr w:type="gramStart"/>
      <w:r w:rsidRPr="007B0ED8">
        <w:rPr>
          <w:rFonts w:ascii="Times New Roman" w:hAnsi="Times New Roman" w:cs="Courier New"/>
          <w:sz w:val="24"/>
          <w:szCs w:val="24"/>
        </w:rPr>
        <w:t>besittning</w:t>
      </w:r>
      <w:proofErr w:type="gramEnd"/>
      <w:r w:rsidRPr="007B0ED8">
        <w:rPr>
          <w:rFonts w:ascii="Times New Roman" w:hAnsi="Times New Roman" w:cs="Courier New"/>
          <w:sz w:val="24"/>
          <w:szCs w:val="24"/>
        </w:rPr>
        <w:t xml:space="preserve"> av ljuset. För att den ofrånkomliga striden inte ska smutsa ljusets sfär som präglas av fred måste kampen förläggas till mörkrets </w:t>
      </w:r>
      <w:r w:rsidR="00A343B8" w:rsidRPr="007B0ED8">
        <w:rPr>
          <w:rFonts w:ascii="Times New Roman" w:hAnsi="Times New Roman" w:cs="Courier New"/>
          <w:sz w:val="24"/>
          <w:szCs w:val="24"/>
        </w:rPr>
        <w:t>domän</w:t>
      </w:r>
      <w:r w:rsidRPr="007B0ED8">
        <w:rPr>
          <w:rFonts w:ascii="Times New Roman" w:hAnsi="Times New Roman" w:cs="Courier New"/>
          <w:sz w:val="24"/>
          <w:szCs w:val="24"/>
        </w:rPr>
        <w:t>.</w:t>
      </w:r>
      <w:r w:rsidR="00040953" w:rsidRPr="007B0ED8">
        <w:rPr>
          <w:rFonts w:ascii="Times New Roman" w:hAnsi="Times New Roman" w:cs="Courier New"/>
          <w:sz w:val="24"/>
          <w:szCs w:val="24"/>
        </w:rPr>
        <w:t xml:space="preserve"> Blandningen av ljus och mörke</w:t>
      </w:r>
      <w:r w:rsidR="00C65030" w:rsidRPr="007B0ED8">
        <w:rPr>
          <w:rFonts w:ascii="Times New Roman" w:hAnsi="Times New Roman" w:cs="Courier New"/>
          <w:sz w:val="24"/>
          <w:szCs w:val="24"/>
        </w:rPr>
        <w:t>r</w:t>
      </w:r>
      <w:r w:rsidR="00040953" w:rsidRPr="007B0ED8">
        <w:rPr>
          <w:rFonts w:ascii="Times New Roman" w:hAnsi="Times New Roman" w:cs="Courier New"/>
          <w:sz w:val="24"/>
          <w:szCs w:val="24"/>
        </w:rPr>
        <w:t xml:space="preserve"> kännetecknar den </w:t>
      </w:r>
      <w:r w:rsidR="00EF5BD5" w:rsidRPr="007B0ED8">
        <w:rPr>
          <w:rFonts w:ascii="Times New Roman" w:hAnsi="Times New Roman" w:cs="Courier New"/>
          <w:sz w:val="24"/>
          <w:szCs w:val="24"/>
        </w:rPr>
        <w:t xml:space="preserve">nästa </w:t>
      </w:r>
      <w:r w:rsidR="00040953" w:rsidRPr="007B0ED8">
        <w:rPr>
          <w:rFonts w:ascii="Times New Roman" w:hAnsi="Times New Roman" w:cs="Courier New"/>
          <w:sz w:val="24"/>
          <w:szCs w:val="24"/>
        </w:rPr>
        <w:t>tidsålder.</w:t>
      </w:r>
      <w:r w:rsidR="006A7305" w:rsidRPr="007B0ED8">
        <w:rPr>
          <w:rFonts w:ascii="Times New Roman" w:hAnsi="Times New Roman" w:cs="Courier New"/>
          <w:sz w:val="24"/>
          <w:szCs w:val="24"/>
        </w:rPr>
        <w:t xml:space="preserve"> För att agera utanför ljusets sfär skapar Fadern Modern som är livets ande och i sin tur föder hon den första människan</w:t>
      </w:r>
      <w:r w:rsidR="001742F9" w:rsidRPr="007B0ED8">
        <w:rPr>
          <w:rFonts w:ascii="Times New Roman" w:hAnsi="Times New Roman" w:cs="Courier New"/>
          <w:sz w:val="24"/>
          <w:szCs w:val="24"/>
        </w:rPr>
        <w:t xml:space="preserve"> som beger sig till mörkrets rike för att utkämpa striden</w:t>
      </w:r>
      <w:r w:rsidR="006A7305" w:rsidRPr="007B0ED8">
        <w:rPr>
          <w:rFonts w:ascii="Times New Roman" w:hAnsi="Times New Roman" w:cs="Courier New"/>
          <w:sz w:val="24"/>
          <w:szCs w:val="24"/>
        </w:rPr>
        <w:t>.</w:t>
      </w:r>
      <w:r w:rsidR="001742F9" w:rsidRPr="007B0ED8">
        <w:rPr>
          <w:rFonts w:ascii="Times New Roman" w:hAnsi="Times New Roman" w:cs="Courier New"/>
          <w:sz w:val="24"/>
          <w:szCs w:val="24"/>
        </w:rPr>
        <w:t xml:space="preserve"> De fem ljusa elementen personifieras genom hans fem söner. När mörkrets kung ser det ljus som den första människan och hans </w:t>
      </w:r>
      <w:r w:rsidR="001742F9" w:rsidRPr="007B0ED8">
        <w:rPr>
          <w:rFonts w:ascii="Times New Roman" w:hAnsi="Times New Roman" w:cs="Courier New"/>
          <w:sz w:val="24"/>
          <w:szCs w:val="24"/>
        </w:rPr>
        <w:lastRenderedPageBreak/>
        <w:t xml:space="preserve">söner </w:t>
      </w:r>
      <w:proofErr w:type="gramStart"/>
      <w:r w:rsidR="001742F9" w:rsidRPr="007B0ED8">
        <w:rPr>
          <w:rFonts w:ascii="Times New Roman" w:hAnsi="Times New Roman" w:cs="Courier New"/>
          <w:sz w:val="24"/>
          <w:szCs w:val="24"/>
        </w:rPr>
        <w:t>besitter</w:t>
      </w:r>
      <w:proofErr w:type="gramEnd"/>
      <w:r w:rsidR="001742F9" w:rsidRPr="007B0ED8">
        <w:rPr>
          <w:rFonts w:ascii="Times New Roman" w:hAnsi="Times New Roman" w:cs="Courier New"/>
          <w:sz w:val="24"/>
          <w:szCs w:val="24"/>
        </w:rPr>
        <w:t xml:space="preserve"> gläds han över att det som verkat fjärran nu finns inom räckhåll.</w:t>
      </w:r>
      <w:r w:rsidR="00B2053B" w:rsidRPr="007B0ED8">
        <w:rPr>
          <w:rFonts w:ascii="Times New Roman" w:hAnsi="Times New Roman" w:cs="Courier New"/>
          <w:sz w:val="24"/>
          <w:szCs w:val="24"/>
        </w:rPr>
        <w:t xml:space="preserve"> Mörkrets kung och fem prinsar slukar den första människan och de fem sönerna.</w:t>
      </w:r>
      <w:r w:rsidR="006C22F1" w:rsidRPr="007B0ED8">
        <w:rPr>
          <w:rFonts w:ascii="Times New Roman" w:hAnsi="Times New Roman" w:cs="Courier New"/>
          <w:sz w:val="24"/>
          <w:szCs w:val="24"/>
        </w:rPr>
        <w:t xml:space="preserve"> Men eftersom det ljus och liv som nu kommit in i mörkrets och dödens sfär i grunden medför undergången för döden blir offret början till ljusets seger över mörkret. Resten av den andra tidsåldern </w:t>
      </w:r>
      <w:r w:rsidR="00C65030" w:rsidRPr="007B0ED8">
        <w:rPr>
          <w:rFonts w:ascii="Times New Roman" w:hAnsi="Times New Roman" w:cs="Courier New"/>
          <w:sz w:val="24"/>
          <w:szCs w:val="24"/>
        </w:rPr>
        <w:t xml:space="preserve">präglas av processen där </w:t>
      </w:r>
      <w:r w:rsidR="006C22F1" w:rsidRPr="007B0ED8">
        <w:rPr>
          <w:rFonts w:ascii="Times New Roman" w:hAnsi="Times New Roman" w:cs="Courier New"/>
          <w:sz w:val="24"/>
          <w:szCs w:val="24"/>
        </w:rPr>
        <w:t xml:space="preserve">den ljusa materien </w:t>
      </w:r>
      <w:r w:rsidR="00C65030" w:rsidRPr="007B0ED8">
        <w:rPr>
          <w:rFonts w:ascii="Times New Roman" w:hAnsi="Times New Roman" w:cs="Courier New"/>
          <w:sz w:val="24"/>
          <w:szCs w:val="24"/>
        </w:rPr>
        <w:t>separeras från den mörka. S</w:t>
      </w:r>
      <w:r w:rsidR="006C22F1" w:rsidRPr="007B0ED8">
        <w:rPr>
          <w:rFonts w:ascii="Times New Roman" w:hAnsi="Times New Roman" w:cs="Courier New"/>
          <w:sz w:val="24"/>
          <w:szCs w:val="24"/>
        </w:rPr>
        <w:t xml:space="preserve">amtidigt </w:t>
      </w:r>
      <w:r w:rsidR="00C65030" w:rsidRPr="007B0ED8">
        <w:rPr>
          <w:rFonts w:ascii="Times New Roman" w:hAnsi="Times New Roman" w:cs="Courier New"/>
          <w:sz w:val="24"/>
          <w:szCs w:val="24"/>
        </w:rPr>
        <w:t xml:space="preserve">säkerställs att </w:t>
      </w:r>
      <w:r w:rsidR="006C22F1" w:rsidRPr="007B0ED8">
        <w:rPr>
          <w:rFonts w:ascii="Times New Roman" w:hAnsi="Times New Roman" w:cs="Courier New"/>
          <w:sz w:val="24"/>
          <w:szCs w:val="24"/>
        </w:rPr>
        <w:t>mörkrets undergång blir slutgiltig.</w:t>
      </w:r>
      <w:r w:rsidR="001213E8" w:rsidRPr="007B0ED8">
        <w:rPr>
          <w:rFonts w:ascii="Times New Roman" w:hAnsi="Times New Roman" w:cs="Courier New"/>
          <w:sz w:val="24"/>
          <w:szCs w:val="24"/>
        </w:rPr>
        <w:t xml:space="preserve"> </w:t>
      </w:r>
      <w:r w:rsidR="005162D5" w:rsidRPr="007B0ED8">
        <w:rPr>
          <w:rFonts w:ascii="Times New Roman" w:hAnsi="Times New Roman" w:cs="Courier New"/>
          <w:sz w:val="24"/>
          <w:szCs w:val="24"/>
        </w:rPr>
        <w:t>Därför stiger Livets moder och den Levande anden ned till avgrunden. Där besegras mörkrets härskare och dennes söner</w:t>
      </w:r>
      <w:r w:rsidR="00046B6B" w:rsidRPr="007B0ED8">
        <w:rPr>
          <w:rFonts w:ascii="Times New Roman" w:hAnsi="Times New Roman" w:cs="Courier New"/>
          <w:sz w:val="24"/>
          <w:szCs w:val="24"/>
        </w:rPr>
        <w:t>,</w:t>
      </w:r>
      <w:r w:rsidR="005162D5" w:rsidRPr="007B0ED8">
        <w:rPr>
          <w:rFonts w:ascii="Times New Roman" w:hAnsi="Times New Roman" w:cs="Courier New"/>
          <w:sz w:val="24"/>
          <w:szCs w:val="24"/>
        </w:rPr>
        <w:t xml:space="preserve"> </w:t>
      </w:r>
      <w:r w:rsidR="00046B6B" w:rsidRPr="007B0ED8">
        <w:rPr>
          <w:rFonts w:ascii="Times New Roman" w:hAnsi="Times New Roman" w:cs="Courier New"/>
          <w:sz w:val="24"/>
          <w:szCs w:val="24"/>
        </w:rPr>
        <w:t>och a</w:t>
      </w:r>
      <w:r w:rsidR="005162D5" w:rsidRPr="007B0ED8">
        <w:rPr>
          <w:rFonts w:ascii="Times New Roman" w:hAnsi="Times New Roman" w:cs="Courier New"/>
          <w:sz w:val="24"/>
          <w:szCs w:val="24"/>
        </w:rPr>
        <w:t>v deras kroppar skapas universum.</w:t>
      </w:r>
    </w:p>
    <w:p w:rsidR="001249E7" w:rsidRPr="007B0ED8" w:rsidRDefault="001249E7" w:rsidP="008D45F4">
      <w:pPr>
        <w:ind w:firstLine="1304"/>
        <w:rPr>
          <w:rFonts w:ascii="Times New Roman" w:hAnsi="Times New Roman" w:cs="Courier New"/>
          <w:sz w:val="24"/>
          <w:szCs w:val="24"/>
        </w:rPr>
      </w:pPr>
    </w:p>
    <w:p w:rsidR="00621732" w:rsidRPr="007B0ED8" w:rsidRDefault="00EB26FE" w:rsidP="002B6AF8">
      <w:pPr>
        <w:rPr>
          <w:rFonts w:ascii="Times New Roman" w:hAnsi="Times New Roman" w:cs="Courier New"/>
          <w:sz w:val="24"/>
          <w:szCs w:val="24"/>
        </w:rPr>
      </w:pPr>
      <w:r w:rsidRPr="007B0ED8">
        <w:rPr>
          <w:rFonts w:ascii="Times New Roman" w:hAnsi="Times New Roman" w:cs="Courier New"/>
          <w:sz w:val="24"/>
          <w:szCs w:val="24"/>
        </w:rPr>
        <w:t>De manikeiska källorna återger omfattande berättelse</w:t>
      </w:r>
      <w:r w:rsidR="004B7619" w:rsidRPr="007B0ED8">
        <w:rPr>
          <w:rFonts w:ascii="Times New Roman" w:hAnsi="Times New Roman" w:cs="Courier New"/>
          <w:sz w:val="24"/>
          <w:szCs w:val="24"/>
        </w:rPr>
        <w:t>r</w:t>
      </w:r>
      <w:r w:rsidRPr="007B0ED8">
        <w:rPr>
          <w:rFonts w:ascii="Times New Roman" w:hAnsi="Times New Roman" w:cs="Courier New"/>
          <w:sz w:val="24"/>
          <w:szCs w:val="24"/>
        </w:rPr>
        <w:t xml:space="preserve"> om de olika stegen i ljusets återbördande. Dessa ing</w:t>
      </w:r>
      <w:r w:rsidR="007A0366" w:rsidRPr="007B0ED8">
        <w:rPr>
          <w:rFonts w:ascii="Times New Roman" w:hAnsi="Times New Roman" w:cs="Courier New"/>
          <w:sz w:val="24"/>
          <w:szCs w:val="24"/>
        </w:rPr>
        <w:t>å</w:t>
      </w:r>
      <w:r w:rsidRPr="007B0ED8">
        <w:rPr>
          <w:rFonts w:ascii="Times New Roman" w:hAnsi="Times New Roman" w:cs="Courier New"/>
          <w:sz w:val="24"/>
          <w:szCs w:val="24"/>
        </w:rPr>
        <w:t xml:space="preserve">r i den tredje tidsåldern och det </w:t>
      </w:r>
      <w:r w:rsidR="00AA06D9" w:rsidRPr="007B0ED8">
        <w:rPr>
          <w:rFonts w:ascii="Times New Roman" w:hAnsi="Times New Roman" w:cs="Courier New"/>
          <w:sz w:val="24"/>
          <w:szCs w:val="24"/>
        </w:rPr>
        <w:t xml:space="preserve">var </w:t>
      </w:r>
      <w:r w:rsidRPr="007B0ED8">
        <w:rPr>
          <w:rFonts w:ascii="Times New Roman" w:hAnsi="Times New Roman" w:cs="Courier New"/>
          <w:sz w:val="24"/>
          <w:szCs w:val="24"/>
        </w:rPr>
        <w:t>i dess slut som Mani ansåg sig leva.</w:t>
      </w:r>
      <w:r w:rsidR="008E22F6" w:rsidRPr="007B0ED8">
        <w:rPr>
          <w:rFonts w:ascii="Times New Roman" w:hAnsi="Times New Roman" w:cs="Courier New"/>
          <w:sz w:val="24"/>
          <w:szCs w:val="24"/>
        </w:rPr>
        <w:t xml:space="preserve"> Här har stora apostlar som Zarathustra och Buddha sina roller, men särskilt viktig är Jesus</w:t>
      </w:r>
      <w:r w:rsidR="00046B6B" w:rsidRPr="007B0ED8">
        <w:rPr>
          <w:rFonts w:ascii="Times New Roman" w:hAnsi="Times New Roman" w:cs="Courier New"/>
          <w:sz w:val="24"/>
          <w:szCs w:val="24"/>
        </w:rPr>
        <w:t>,</w:t>
      </w:r>
      <w:r w:rsidR="008E22F6" w:rsidRPr="007B0ED8">
        <w:rPr>
          <w:rFonts w:ascii="Times New Roman" w:hAnsi="Times New Roman" w:cs="Courier New"/>
          <w:sz w:val="24"/>
          <w:szCs w:val="24"/>
        </w:rPr>
        <w:t xml:space="preserve"> vars apostel Mani ansåg sig vara.</w:t>
      </w:r>
      <w:r w:rsidR="00046B6B" w:rsidRPr="007B0ED8">
        <w:rPr>
          <w:rFonts w:ascii="Times New Roman" w:hAnsi="Times New Roman" w:cs="Courier New"/>
          <w:sz w:val="24"/>
          <w:szCs w:val="24"/>
        </w:rPr>
        <w:t xml:space="preserve"> Av utrymmesskäl är vi tvungna att avstå från en mer ingående redogörelse för de olika stegen i ljusets återbördande ti</w:t>
      </w:r>
      <w:r w:rsidR="008C4540" w:rsidRPr="007B0ED8">
        <w:rPr>
          <w:rFonts w:ascii="Times New Roman" w:hAnsi="Times New Roman" w:cs="Courier New"/>
          <w:sz w:val="24"/>
          <w:szCs w:val="24"/>
        </w:rPr>
        <w:t>l</w:t>
      </w:r>
      <w:r w:rsidR="00046B6B" w:rsidRPr="007B0ED8">
        <w:rPr>
          <w:rFonts w:ascii="Times New Roman" w:hAnsi="Times New Roman" w:cs="Courier New"/>
          <w:sz w:val="24"/>
          <w:szCs w:val="24"/>
        </w:rPr>
        <w:t xml:space="preserve">l den sfär i vilket det dväljs innan allt ljus är </w:t>
      </w:r>
      <w:r w:rsidR="008D625C" w:rsidRPr="007B0ED8">
        <w:rPr>
          <w:rFonts w:ascii="Times New Roman" w:hAnsi="Times New Roman" w:cs="Courier New"/>
          <w:sz w:val="24"/>
          <w:szCs w:val="24"/>
        </w:rPr>
        <w:t>befriat</w:t>
      </w:r>
      <w:r w:rsidR="00046B6B" w:rsidRPr="007B0ED8">
        <w:rPr>
          <w:rFonts w:ascii="Times New Roman" w:hAnsi="Times New Roman" w:cs="Courier New"/>
          <w:sz w:val="24"/>
          <w:szCs w:val="24"/>
        </w:rPr>
        <w:t xml:space="preserve">. </w:t>
      </w:r>
      <w:r w:rsidR="008D625C" w:rsidRPr="007B0ED8">
        <w:rPr>
          <w:rFonts w:ascii="Times New Roman" w:hAnsi="Times New Roman" w:cs="Courier New"/>
          <w:sz w:val="24"/>
          <w:szCs w:val="24"/>
        </w:rPr>
        <w:t>U</w:t>
      </w:r>
      <w:r w:rsidR="00046B6B" w:rsidRPr="007B0ED8">
        <w:rPr>
          <w:rFonts w:ascii="Times New Roman" w:hAnsi="Times New Roman" w:cs="Courier New"/>
          <w:sz w:val="24"/>
          <w:szCs w:val="24"/>
        </w:rPr>
        <w:t>nderstryka</w:t>
      </w:r>
      <w:r w:rsidR="008D625C" w:rsidRPr="007B0ED8">
        <w:rPr>
          <w:rFonts w:ascii="Times New Roman" w:hAnsi="Times New Roman" w:cs="Courier New"/>
          <w:sz w:val="24"/>
          <w:szCs w:val="24"/>
        </w:rPr>
        <w:t>s</w:t>
      </w:r>
      <w:r w:rsidR="00046B6B" w:rsidRPr="007B0ED8">
        <w:rPr>
          <w:rFonts w:ascii="Times New Roman" w:hAnsi="Times New Roman" w:cs="Courier New"/>
          <w:sz w:val="24"/>
          <w:szCs w:val="24"/>
        </w:rPr>
        <w:t xml:space="preserve"> </w:t>
      </w:r>
      <w:r w:rsidR="008D625C" w:rsidRPr="007B0ED8">
        <w:rPr>
          <w:rFonts w:ascii="Times New Roman" w:hAnsi="Times New Roman" w:cs="Courier New"/>
          <w:sz w:val="24"/>
          <w:szCs w:val="24"/>
        </w:rPr>
        <w:t xml:space="preserve">bör dock </w:t>
      </w:r>
      <w:r w:rsidR="00046B6B" w:rsidRPr="007B0ED8">
        <w:rPr>
          <w:rFonts w:ascii="Times New Roman" w:hAnsi="Times New Roman" w:cs="Courier New"/>
          <w:sz w:val="24"/>
          <w:szCs w:val="24"/>
        </w:rPr>
        <w:t>att det som sker i makrokosmos också har sin motsvarighet i det mikrokosmos som varje människa utgör. Makrokosmos kan ses som ett reningsverk där mörker och ljus separeras och där mörkret sedan begravs i underjorden så att det aldrig mer kan återfå sin makt. Tecken på hur ljuset fördes upp ti</w:t>
      </w:r>
      <w:r w:rsidR="008C4540" w:rsidRPr="007B0ED8">
        <w:rPr>
          <w:rFonts w:ascii="Times New Roman" w:hAnsi="Times New Roman" w:cs="Courier New"/>
          <w:sz w:val="24"/>
          <w:szCs w:val="24"/>
        </w:rPr>
        <w:t>l</w:t>
      </w:r>
      <w:r w:rsidR="00046B6B" w:rsidRPr="007B0ED8">
        <w:rPr>
          <w:rFonts w:ascii="Times New Roman" w:hAnsi="Times New Roman" w:cs="Courier New"/>
          <w:sz w:val="24"/>
          <w:szCs w:val="24"/>
        </w:rPr>
        <w:t>l de högre sfärerna såg manikéerna i månens cykler där man tänkte sig att ljuset fördes från månen till solen.</w:t>
      </w:r>
      <w:r w:rsidR="00F66D60" w:rsidRPr="007B0ED8">
        <w:rPr>
          <w:rFonts w:ascii="Times New Roman" w:hAnsi="Times New Roman" w:cs="Courier New"/>
          <w:sz w:val="24"/>
          <w:szCs w:val="24"/>
        </w:rPr>
        <w:t xml:space="preserve"> I mikrokosmos, dvs. i varje människa utkämpades också en strid mellan ljus oc</w:t>
      </w:r>
      <w:r w:rsidR="008C4540" w:rsidRPr="007B0ED8">
        <w:rPr>
          <w:rFonts w:ascii="Times New Roman" w:hAnsi="Times New Roman" w:cs="Courier New"/>
          <w:sz w:val="24"/>
          <w:szCs w:val="24"/>
        </w:rPr>
        <w:t>h</w:t>
      </w:r>
      <w:r w:rsidR="00F66D60" w:rsidRPr="007B0ED8">
        <w:rPr>
          <w:rFonts w:ascii="Times New Roman" w:hAnsi="Times New Roman" w:cs="Courier New"/>
          <w:sz w:val="24"/>
          <w:szCs w:val="24"/>
        </w:rPr>
        <w:t xml:space="preserve"> mörker. Den som levde ett ytterst asketiskt liv kunde frigöra ljuset genom att de ljusa partiklar som fanns i maten separerades från det mörka vid en rituell måltid. Melon och gurka var särskilt lämplig kost eftersom de ansågs ha mycket ljus materia i sig. Motsatsen kunde sägas</w:t>
      </w:r>
      <w:r w:rsidR="008E7CFB" w:rsidRPr="007B0ED8">
        <w:rPr>
          <w:rFonts w:ascii="Times New Roman" w:hAnsi="Times New Roman" w:cs="Courier New"/>
          <w:sz w:val="24"/>
          <w:szCs w:val="24"/>
        </w:rPr>
        <w:t xml:space="preserve"> </w:t>
      </w:r>
      <w:r w:rsidR="00F66D60" w:rsidRPr="007B0ED8">
        <w:rPr>
          <w:rFonts w:ascii="Times New Roman" w:hAnsi="Times New Roman" w:cs="Courier New"/>
          <w:sz w:val="24"/>
          <w:szCs w:val="24"/>
        </w:rPr>
        <w:t>om kött</w:t>
      </w:r>
      <w:r w:rsidR="000B7714" w:rsidRPr="007B0ED8">
        <w:rPr>
          <w:rFonts w:ascii="Times New Roman" w:hAnsi="Times New Roman" w:cs="Courier New"/>
          <w:sz w:val="24"/>
          <w:szCs w:val="24"/>
        </w:rPr>
        <w:t xml:space="preserve"> </w:t>
      </w:r>
      <w:r w:rsidR="008E7CFB" w:rsidRPr="007B0ED8">
        <w:rPr>
          <w:rFonts w:ascii="Times New Roman" w:hAnsi="Times New Roman" w:cs="Courier New"/>
          <w:sz w:val="24"/>
          <w:szCs w:val="24"/>
        </w:rPr>
        <w:t xml:space="preserve">och vin </w:t>
      </w:r>
      <w:r w:rsidR="000B7714" w:rsidRPr="007B0ED8">
        <w:rPr>
          <w:rFonts w:ascii="Times New Roman" w:hAnsi="Times New Roman" w:cs="Courier New"/>
          <w:sz w:val="24"/>
          <w:szCs w:val="24"/>
        </w:rPr>
        <w:t>som man avstod ifrån.</w:t>
      </w:r>
      <w:r w:rsidR="008E7CFB" w:rsidRPr="007B0ED8">
        <w:rPr>
          <w:rFonts w:ascii="Times New Roman" w:hAnsi="Times New Roman" w:cs="Courier New"/>
          <w:sz w:val="24"/>
          <w:szCs w:val="24"/>
        </w:rPr>
        <w:t xml:space="preserve"> Även om själva ätandet innebar lidande för den ljusa materien ledde detta lidande till befrielse. </w:t>
      </w:r>
      <w:r w:rsidR="00621732" w:rsidRPr="007B0ED8">
        <w:rPr>
          <w:rFonts w:ascii="Times New Roman" w:hAnsi="Times New Roman" w:cs="Courier New"/>
          <w:sz w:val="24"/>
          <w:szCs w:val="24"/>
        </w:rPr>
        <w:t xml:space="preserve">Att man tänkte i mycket konkreta termer framgår av följande citat från </w:t>
      </w:r>
      <w:proofErr w:type="spellStart"/>
      <w:r w:rsidR="00621732" w:rsidRPr="007B0ED8">
        <w:rPr>
          <w:rFonts w:ascii="Times New Roman" w:hAnsi="Times New Roman" w:cs="Courier New"/>
          <w:i/>
          <w:sz w:val="24"/>
          <w:szCs w:val="24"/>
        </w:rPr>
        <w:t>Kephalaia</w:t>
      </w:r>
      <w:proofErr w:type="spellEnd"/>
      <w:r w:rsidR="00621732" w:rsidRPr="007B0ED8">
        <w:rPr>
          <w:rFonts w:ascii="Times New Roman" w:hAnsi="Times New Roman" w:cs="Courier New"/>
          <w:sz w:val="24"/>
          <w:szCs w:val="24"/>
        </w:rPr>
        <w:t>:</w:t>
      </w:r>
    </w:p>
    <w:p w:rsidR="00621732" w:rsidRPr="007B0ED8" w:rsidRDefault="00621732" w:rsidP="00DE13BC">
      <w:pPr>
        <w:rPr>
          <w:rFonts w:ascii="Times New Roman" w:hAnsi="Times New Roman" w:cs="Courier New"/>
          <w:sz w:val="24"/>
        </w:rPr>
      </w:pPr>
    </w:p>
    <w:p w:rsidR="00621732" w:rsidRPr="00BF126F" w:rsidRDefault="00621732" w:rsidP="00621732">
      <w:pPr>
        <w:autoSpaceDE w:val="0"/>
        <w:autoSpaceDN w:val="0"/>
        <w:adjustRightInd w:val="0"/>
        <w:spacing w:after="0" w:line="240" w:lineRule="auto"/>
        <w:rPr>
          <w:rFonts w:ascii="Times New Roman" w:hAnsi="Times New Roman" w:cs="Courier New"/>
          <w:i/>
          <w:lang w:val="en-US"/>
        </w:rPr>
      </w:pPr>
      <w:r w:rsidRPr="00BF126F">
        <w:rPr>
          <w:rFonts w:ascii="Times New Roman" w:hAnsi="Times New Roman" w:cs="Courier New"/>
          <w:i/>
          <w:lang w:val="en-US"/>
        </w:rPr>
        <w:t xml:space="preserve">Once again, it happened one time while the apostle (Mani) is sitting down among the congregation. One of his disciples stood up in front of (him). He says to him: I have heard you, my master, saying: 'Seven angels shall be engendered by the fasting of each one of the elect; and not only the elect but the catechumens engender them on the </w:t>
      </w:r>
      <w:proofErr w:type="gramStart"/>
      <w:r w:rsidRPr="00BF126F">
        <w:rPr>
          <w:rFonts w:ascii="Times New Roman" w:hAnsi="Times New Roman" w:cs="Courier New"/>
          <w:i/>
          <w:lang w:val="en-US"/>
        </w:rPr>
        <w:t>lord's day</w:t>
      </w:r>
      <w:proofErr w:type="gramEnd"/>
      <w:r w:rsidRPr="00BF126F">
        <w:rPr>
          <w:rFonts w:ascii="Times New Roman" w:hAnsi="Times New Roman" w:cs="Courier New"/>
          <w:i/>
          <w:lang w:val="en-US"/>
        </w:rPr>
        <w:t>'.</w:t>
      </w:r>
    </w:p>
    <w:p w:rsidR="00621732" w:rsidRPr="00BF126F" w:rsidRDefault="00621732" w:rsidP="00621732">
      <w:pPr>
        <w:autoSpaceDE w:val="0"/>
        <w:autoSpaceDN w:val="0"/>
        <w:adjustRightInd w:val="0"/>
        <w:spacing w:after="0" w:line="240" w:lineRule="auto"/>
        <w:rPr>
          <w:rFonts w:ascii="Times New Roman" w:hAnsi="Times New Roman" w:cs="Courier New"/>
          <w:i/>
          <w:lang w:val="en-US"/>
        </w:rPr>
      </w:pPr>
      <w:r w:rsidRPr="00BF126F">
        <w:rPr>
          <w:rFonts w:ascii="Times New Roman" w:hAnsi="Times New Roman" w:cs="Courier New"/>
          <w:i/>
          <w:lang w:val="en-US"/>
        </w:rPr>
        <w:t xml:space="preserve">(The work) of fasting is this in summary. Now, I, I have... have passed since I became leader. Fifty (elect were with) me in the church over which I became the head. (They stood) before me while they fasted every day. Now, I (took account of the) fasting that a person performs at these three (lord's) days singly, and </w:t>
      </w:r>
      <w:r w:rsidR="0074297B" w:rsidRPr="00BF126F">
        <w:rPr>
          <w:rFonts w:ascii="Times New Roman" w:hAnsi="Times New Roman" w:cs="Courier New"/>
          <w:i/>
          <w:lang w:val="en-US"/>
        </w:rPr>
        <w:t>I</w:t>
      </w:r>
      <w:r w:rsidRPr="00BF126F">
        <w:rPr>
          <w:rFonts w:ascii="Times New Roman" w:hAnsi="Times New Roman" w:cs="Courier New"/>
          <w:i/>
          <w:lang w:val="en-US"/>
        </w:rPr>
        <w:t xml:space="preserve"> found that each one of these (elect) had engendered seven angels by their fasting. So, I (counted the) fasting of these fifty people at the three lord's days: they </w:t>
      </w:r>
      <w:proofErr w:type="spellStart"/>
      <w:r w:rsidRPr="00BF126F">
        <w:rPr>
          <w:rFonts w:ascii="Times New Roman" w:hAnsi="Times New Roman" w:cs="Courier New"/>
          <w:i/>
          <w:lang w:val="en-US"/>
        </w:rPr>
        <w:t>totalled</w:t>
      </w:r>
      <w:proofErr w:type="spellEnd"/>
      <w:r w:rsidRPr="00BF126F">
        <w:rPr>
          <w:rFonts w:ascii="Times New Roman" w:hAnsi="Times New Roman" w:cs="Courier New"/>
          <w:i/>
          <w:lang w:val="en-US"/>
        </w:rPr>
        <w:t xml:space="preserve"> three hundred and fifty angels, as seven angels are reckoned to each one of the elect, who engender </w:t>
      </w:r>
      <w:proofErr w:type="gramStart"/>
      <w:r w:rsidRPr="00BF126F">
        <w:rPr>
          <w:rFonts w:ascii="Times New Roman" w:hAnsi="Times New Roman" w:cs="Courier New"/>
          <w:i/>
          <w:lang w:val="en-US"/>
        </w:rPr>
        <w:t>them</w:t>
      </w:r>
      <w:proofErr w:type="gramEnd"/>
      <w:r w:rsidRPr="00BF126F">
        <w:rPr>
          <w:rFonts w:ascii="Times New Roman" w:hAnsi="Times New Roman" w:cs="Courier New"/>
          <w:i/>
          <w:lang w:val="en-US"/>
        </w:rPr>
        <w:t xml:space="preserve"> daily through total fasting. I counted these three lord's days when these fifty people fasted, and I multiplied by three. I found: the number of angels engendered by them </w:t>
      </w:r>
      <w:proofErr w:type="spellStart"/>
      <w:r w:rsidRPr="00BF126F">
        <w:rPr>
          <w:rFonts w:ascii="Times New Roman" w:hAnsi="Times New Roman" w:cs="Courier New"/>
          <w:i/>
          <w:lang w:val="en-US"/>
        </w:rPr>
        <w:t>totalled</w:t>
      </w:r>
      <w:proofErr w:type="spellEnd"/>
      <w:r w:rsidRPr="00BF126F">
        <w:rPr>
          <w:rFonts w:ascii="Times New Roman" w:hAnsi="Times New Roman" w:cs="Courier New"/>
          <w:i/>
          <w:lang w:val="en-US"/>
        </w:rPr>
        <w:t xml:space="preserve"> one thousand and fifty, and I (was grateful) on account of the great profit and good that I had achieved (on these three) lord's days.</w:t>
      </w:r>
      <w:r w:rsidR="00621C22" w:rsidRPr="00BF126F">
        <w:rPr>
          <w:rStyle w:val="Fotnotsreferens"/>
          <w:rFonts w:ascii="Times New Roman" w:hAnsi="Times New Roman" w:cs="Courier New"/>
          <w:i/>
          <w:lang w:val="en-US"/>
        </w:rPr>
        <w:footnoteReference w:id="29"/>
      </w:r>
    </w:p>
    <w:p w:rsidR="002C0573" w:rsidRPr="007B0ED8" w:rsidRDefault="002C0573" w:rsidP="00621732">
      <w:pPr>
        <w:autoSpaceDE w:val="0"/>
        <w:autoSpaceDN w:val="0"/>
        <w:adjustRightInd w:val="0"/>
        <w:spacing w:after="0" w:line="240" w:lineRule="auto"/>
        <w:rPr>
          <w:rFonts w:ascii="Times New Roman" w:hAnsi="Times New Roman" w:cs="Courier New"/>
          <w:sz w:val="24"/>
          <w:lang w:val="en-US"/>
        </w:rPr>
      </w:pPr>
    </w:p>
    <w:p w:rsidR="00CD45C1" w:rsidRPr="007B0ED8" w:rsidRDefault="00CD45C1" w:rsidP="00621732">
      <w:pPr>
        <w:autoSpaceDE w:val="0"/>
        <w:autoSpaceDN w:val="0"/>
        <w:adjustRightInd w:val="0"/>
        <w:spacing w:after="0" w:line="240" w:lineRule="auto"/>
        <w:rPr>
          <w:rFonts w:ascii="Times New Roman" w:hAnsi="Times New Roman" w:cs="Courier New"/>
          <w:sz w:val="24"/>
          <w:lang w:val="en-US"/>
        </w:rPr>
      </w:pPr>
    </w:p>
    <w:p w:rsidR="00CD45C1" w:rsidRPr="007B0ED8" w:rsidRDefault="00CD45C1" w:rsidP="00621732">
      <w:pPr>
        <w:autoSpaceDE w:val="0"/>
        <w:autoSpaceDN w:val="0"/>
        <w:adjustRightInd w:val="0"/>
        <w:spacing w:after="0" w:line="240" w:lineRule="auto"/>
        <w:rPr>
          <w:rFonts w:ascii="Times New Roman" w:hAnsi="Times New Roman" w:cs="Courier New"/>
          <w:sz w:val="24"/>
          <w:lang w:val="en-US"/>
        </w:rPr>
      </w:pPr>
    </w:p>
    <w:p w:rsidR="005F7924" w:rsidRPr="007B0ED8" w:rsidRDefault="009A478B" w:rsidP="00621732">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H</w:t>
      </w:r>
      <w:r w:rsidR="005F7924" w:rsidRPr="007B0ED8">
        <w:rPr>
          <w:rFonts w:ascii="Times New Roman" w:hAnsi="Times New Roman" w:cs="Courier New"/>
          <w:sz w:val="24"/>
          <w:szCs w:val="24"/>
        </w:rPr>
        <w:t xml:space="preserve">är </w:t>
      </w:r>
      <w:r w:rsidRPr="007B0ED8">
        <w:rPr>
          <w:rFonts w:ascii="Times New Roman" w:hAnsi="Times New Roman" w:cs="Courier New"/>
          <w:sz w:val="24"/>
          <w:szCs w:val="24"/>
        </w:rPr>
        <w:t xml:space="preserve">möter vi </w:t>
      </w:r>
      <w:r w:rsidR="00771253" w:rsidRPr="007B0ED8">
        <w:rPr>
          <w:rFonts w:ascii="Times New Roman" w:hAnsi="Times New Roman" w:cs="Courier New"/>
          <w:sz w:val="24"/>
          <w:szCs w:val="24"/>
        </w:rPr>
        <w:t xml:space="preserve">två </w:t>
      </w:r>
      <w:r w:rsidRPr="007B0ED8">
        <w:rPr>
          <w:rFonts w:ascii="Times New Roman" w:hAnsi="Times New Roman" w:cs="Courier New"/>
          <w:sz w:val="24"/>
          <w:szCs w:val="24"/>
        </w:rPr>
        <w:t xml:space="preserve">kategorier </w:t>
      </w:r>
      <w:r w:rsidR="005F7924" w:rsidRPr="007B0ED8">
        <w:rPr>
          <w:rFonts w:ascii="Times New Roman" w:hAnsi="Times New Roman" w:cs="Courier New"/>
          <w:sz w:val="24"/>
          <w:szCs w:val="24"/>
        </w:rPr>
        <w:t xml:space="preserve">som vi ska fördjupa oss något i. </w:t>
      </w:r>
      <w:r w:rsidR="00771253" w:rsidRPr="007B0ED8">
        <w:rPr>
          <w:rFonts w:ascii="Times New Roman" w:hAnsi="Times New Roman" w:cs="Courier New"/>
          <w:sz w:val="24"/>
          <w:szCs w:val="24"/>
        </w:rPr>
        <w:t xml:space="preserve">Det är </w:t>
      </w:r>
      <w:r w:rsidR="005F7924" w:rsidRPr="007B0ED8">
        <w:rPr>
          <w:rFonts w:ascii="Times New Roman" w:hAnsi="Times New Roman" w:cs="Courier New"/>
          <w:sz w:val="24"/>
          <w:szCs w:val="24"/>
        </w:rPr>
        <w:t>”de utvalda” och ”</w:t>
      </w:r>
      <w:proofErr w:type="spellStart"/>
      <w:r w:rsidR="005F7924" w:rsidRPr="007B0ED8">
        <w:rPr>
          <w:rFonts w:ascii="Times New Roman" w:hAnsi="Times New Roman" w:cs="Courier New"/>
          <w:sz w:val="24"/>
          <w:szCs w:val="24"/>
        </w:rPr>
        <w:t>katekuménerna</w:t>
      </w:r>
      <w:proofErr w:type="spellEnd"/>
      <w:r w:rsidR="005F7924" w:rsidRPr="007B0ED8">
        <w:rPr>
          <w:rFonts w:ascii="Times New Roman" w:hAnsi="Times New Roman" w:cs="Courier New"/>
          <w:sz w:val="24"/>
          <w:szCs w:val="24"/>
        </w:rPr>
        <w:t>”</w:t>
      </w:r>
      <w:r w:rsidR="00771253" w:rsidRPr="007B0ED8">
        <w:rPr>
          <w:rFonts w:ascii="Times New Roman" w:hAnsi="Times New Roman" w:cs="Courier New"/>
          <w:sz w:val="24"/>
          <w:szCs w:val="24"/>
        </w:rPr>
        <w:t xml:space="preserve"> </w:t>
      </w:r>
      <w:r w:rsidR="005F7924" w:rsidRPr="007B0ED8">
        <w:rPr>
          <w:rFonts w:ascii="Times New Roman" w:hAnsi="Times New Roman" w:cs="Courier New"/>
          <w:sz w:val="24"/>
          <w:szCs w:val="24"/>
        </w:rPr>
        <w:t>eller som jag i fortsättningen kommer kalla de sistnämnda: lekfolket.</w:t>
      </w:r>
    </w:p>
    <w:p w:rsidR="00AA06D9" w:rsidRPr="007B0ED8" w:rsidRDefault="00AA06D9" w:rsidP="00621732">
      <w:pPr>
        <w:autoSpaceDE w:val="0"/>
        <w:autoSpaceDN w:val="0"/>
        <w:adjustRightInd w:val="0"/>
        <w:spacing w:after="0" w:line="240" w:lineRule="auto"/>
        <w:rPr>
          <w:rFonts w:ascii="Times New Roman" w:hAnsi="Times New Roman" w:cs="Courier New"/>
          <w:sz w:val="24"/>
        </w:rPr>
      </w:pPr>
    </w:p>
    <w:p w:rsidR="00AA06D9" w:rsidRPr="007B0ED8" w:rsidRDefault="00AA06D9" w:rsidP="00AA06D9">
      <w:pPr>
        <w:pStyle w:val="Rubrik3"/>
        <w:rPr>
          <w:rFonts w:ascii="Times New Roman" w:hAnsi="Times New Roman"/>
          <w:sz w:val="24"/>
        </w:rPr>
      </w:pPr>
      <w:r w:rsidRPr="007B0ED8">
        <w:rPr>
          <w:rFonts w:ascii="Times New Roman" w:hAnsi="Times New Roman"/>
          <w:sz w:val="24"/>
        </w:rPr>
        <w:t>Utvalda och lekfolk</w:t>
      </w:r>
    </w:p>
    <w:p w:rsidR="00C05F00" w:rsidRPr="007B0ED8" w:rsidRDefault="00457715"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M</w:t>
      </w:r>
      <w:r w:rsidR="00A067BD" w:rsidRPr="007B0ED8">
        <w:rPr>
          <w:rFonts w:ascii="Times New Roman" w:hAnsi="Times New Roman" w:cs="Courier New"/>
          <w:sz w:val="24"/>
          <w:szCs w:val="24"/>
        </w:rPr>
        <w:t xml:space="preserve">anikéerna delade </w:t>
      </w:r>
      <w:r w:rsidRPr="007B0ED8">
        <w:rPr>
          <w:rFonts w:ascii="Times New Roman" w:hAnsi="Times New Roman" w:cs="Courier New"/>
          <w:sz w:val="24"/>
          <w:szCs w:val="24"/>
        </w:rPr>
        <w:t xml:space="preserve">alltså </w:t>
      </w:r>
      <w:r w:rsidR="00A067BD" w:rsidRPr="007B0ED8">
        <w:rPr>
          <w:rFonts w:ascii="Times New Roman" w:hAnsi="Times New Roman" w:cs="Courier New"/>
          <w:sz w:val="24"/>
          <w:szCs w:val="24"/>
        </w:rPr>
        <w:t>in sig i två grup</w:t>
      </w:r>
      <w:r w:rsidRPr="007B0ED8">
        <w:rPr>
          <w:rFonts w:ascii="Times New Roman" w:hAnsi="Times New Roman" w:cs="Courier New"/>
          <w:sz w:val="24"/>
          <w:szCs w:val="24"/>
        </w:rPr>
        <w:t>p</w:t>
      </w:r>
      <w:r w:rsidR="00A067BD" w:rsidRPr="007B0ED8">
        <w:rPr>
          <w:rFonts w:ascii="Times New Roman" w:hAnsi="Times New Roman" w:cs="Courier New"/>
          <w:sz w:val="24"/>
          <w:szCs w:val="24"/>
        </w:rPr>
        <w:t xml:space="preserve">er där ”de utvalda” utgjorde den religiösa eliten och de så kallade hörarna utgjorde lekfolket. </w:t>
      </w:r>
      <w:r w:rsidRPr="007B0ED8">
        <w:rPr>
          <w:rFonts w:ascii="Times New Roman" w:hAnsi="Times New Roman" w:cs="Courier New"/>
          <w:sz w:val="24"/>
          <w:szCs w:val="24"/>
        </w:rPr>
        <w:t>De utvalda förväntades ägna all sin tid åt att befria ljuspartiklarna ur materien. I denna akt och mening</w:t>
      </w:r>
      <w:r w:rsidR="006C3BCD" w:rsidRPr="007B0ED8">
        <w:rPr>
          <w:rFonts w:ascii="Times New Roman" w:hAnsi="Times New Roman" w:cs="Courier New"/>
          <w:sz w:val="24"/>
          <w:szCs w:val="24"/>
        </w:rPr>
        <w:t>,</w:t>
      </w:r>
      <w:r w:rsidRPr="007B0ED8">
        <w:rPr>
          <w:rFonts w:ascii="Times New Roman" w:hAnsi="Times New Roman" w:cs="Courier New"/>
          <w:sz w:val="24"/>
          <w:szCs w:val="24"/>
        </w:rPr>
        <w:t xml:space="preserve"> </w:t>
      </w:r>
      <w:r w:rsidR="00690205" w:rsidRPr="007B0ED8">
        <w:rPr>
          <w:rFonts w:ascii="Times New Roman" w:hAnsi="Times New Roman" w:cs="Courier New"/>
          <w:sz w:val="24"/>
          <w:szCs w:val="24"/>
        </w:rPr>
        <w:t>skul</w:t>
      </w:r>
      <w:r w:rsidR="006C46CE" w:rsidRPr="007B0ED8">
        <w:rPr>
          <w:rFonts w:ascii="Times New Roman" w:hAnsi="Times New Roman" w:cs="Courier New"/>
          <w:sz w:val="24"/>
          <w:szCs w:val="24"/>
        </w:rPr>
        <w:t>l</w:t>
      </w:r>
      <w:r w:rsidR="00690205" w:rsidRPr="007B0ED8">
        <w:rPr>
          <w:rFonts w:ascii="Times New Roman" w:hAnsi="Times New Roman" w:cs="Courier New"/>
          <w:sz w:val="24"/>
          <w:szCs w:val="24"/>
        </w:rPr>
        <w:t>e de avhålla sig från att ljuga, döda, äta kött, dricka alkohol, idka sexuellt umgänge</w:t>
      </w:r>
      <w:r w:rsidR="006C46CE" w:rsidRPr="007B0ED8">
        <w:rPr>
          <w:rFonts w:ascii="Times New Roman" w:hAnsi="Times New Roman" w:cs="Courier New"/>
          <w:sz w:val="24"/>
          <w:szCs w:val="24"/>
        </w:rPr>
        <w:t xml:space="preserve">. Istället skulle </w:t>
      </w:r>
      <w:r w:rsidR="00690205" w:rsidRPr="007B0ED8">
        <w:rPr>
          <w:rFonts w:ascii="Times New Roman" w:hAnsi="Times New Roman" w:cs="Courier New"/>
          <w:sz w:val="24"/>
          <w:szCs w:val="24"/>
        </w:rPr>
        <w:t xml:space="preserve">de leva i fattigdom </w:t>
      </w:r>
      <w:r w:rsidR="006C46CE" w:rsidRPr="007B0ED8">
        <w:rPr>
          <w:rFonts w:ascii="Times New Roman" w:hAnsi="Times New Roman" w:cs="Courier New"/>
          <w:sz w:val="24"/>
          <w:szCs w:val="24"/>
        </w:rPr>
        <w:t>och ägna d</w:t>
      </w:r>
      <w:r w:rsidR="00690205" w:rsidRPr="007B0ED8">
        <w:rPr>
          <w:rFonts w:ascii="Times New Roman" w:hAnsi="Times New Roman" w:cs="Courier New"/>
          <w:sz w:val="24"/>
          <w:szCs w:val="24"/>
        </w:rPr>
        <w:t xml:space="preserve">agen </w:t>
      </w:r>
      <w:r w:rsidRPr="007B0ED8">
        <w:rPr>
          <w:rFonts w:ascii="Times New Roman" w:hAnsi="Times New Roman" w:cs="Courier New"/>
          <w:sz w:val="24"/>
          <w:szCs w:val="24"/>
        </w:rPr>
        <w:t xml:space="preserve">åt </w:t>
      </w:r>
      <w:r w:rsidR="00727163" w:rsidRPr="007B0ED8">
        <w:rPr>
          <w:rFonts w:ascii="Times New Roman" w:hAnsi="Times New Roman" w:cs="Courier New"/>
          <w:sz w:val="24"/>
          <w:szCs w:val="24"/>
        </w:rPr>
        <w:t xml:space="preserve">fasta, </w:t>
      </w:r>
      <w:r w:rsidRPr="007B0ED8">
        <w:rPr>
          <w:rFonts w:ascii="Times New Roman" w:hAnsi="Times New Roman" w:cs="Courier New"/>
          <w:sz w:val="24"/>
          <w:szCs w:val="24"/>
        </w:rPr>
        <w:t>böner och hymner</w:t>
      </w:r>
      <w:r w:rsidR="006C46CE" w:rsidRPr="007B0ED8">
        <w:rPr>
          <w:rFonts w:ascii="Times New Roman" w:hAnsi="Times New Roman" w:cs="Courier New"/>
          <w:sz w:val="24"/>
          <w:szCs w:val="24"/>
        </w:rPr>
        <w:t>,</w:t>
      </w:r>
      <w:r w:rsidRPr="007B0ED8">
        <w:rPr>
          <w:rFonts w:ascii="Times New Roman" w:hAnsi="Times New Roman" w:cs="Courier New"/>
          <w:sz w:val="24"/>
          <w:szCs w:val="24"/>
        </w:rPr>
        <w:t xml:space="preserve"> ända till dess att de </w:t>
      </w:r>
      <w:r w:rsidR="00690205" w:rsidRPr="007B0ED8">
        <w:rPr>
          <w:rFonts w:ascii="Times New Roman" w:hAnsi="Times New Roman" w:cs="Courier New"/>
          <w:sz w:val="24"/>
          <w:szCs w:val="24"/>
        </w:rPr>
        <w:t xml:space="preserve">om </w:t>
      </w:r>
      <w:r w:rsidRPr="007B0ED8">
        <w:rPr>
          <w:rFonts w:ascii="Times New Roman" w:hAnsi="Times New Roman" w:cs="Courier New"/>
          <w:sz w:val="24"/>
          <w:szCs w:val="24"/>
        </w:rPr>
        <w:t>kvällen samlades till ”bordet”</w:t>
      </w:r>
      <w:r w:rsidR="006C3BCD" w:rsidRPr="007B0ED8">
        <w:rPr>
          <w:rFonts w:ascii="Times New Roman" w:hAnsi="Times New Roman" w:cs="Courier New"/>
          <w:sz w:val="24"/>
          <w:szCs w:val="24"/>
        </w:rPr>
        <w:t>.</w:t>
      </w:r>
      <w:r w:rsidRPr="007B0ED8">
        <w:rPr>
          <w:rFonts w:ascii="Times New Roman" w:hAnsi="Times New Roman" w:cs="Courier New"/>
          <w:sz w:val="24"/>
          <w:szCs w:val="24"/>
        </w:rPr>
        <w:t xml:space="preserve"> </w:t>
      </w:r>
      <w:r w:rsidR="006C3BCD" w:rsidRPr="007B0ED8">
        <w:rPr>
          <w:rFonts w:ascii="Times New Roman" w:hAnsi="Times New Roman" w:cs="Courier New"/>
          <w:sz w:val="24"/>
          <w:szCs w:val="24"/>
        </w:rPr>
        <w:t xml:space="preserve">”Bordet” </w:t>
      </w:r>
      <w:r w:rsidRPr="007B0ED8">
        <w:rPr>
          <w:rFonts w:ascii="Times New Roman" w:hAnsi="Times New Roman" w:cs="Courier New"/>
          <w:sz w:val="24"/>
          <w:szCs w:val="24"/>
        </w:rPr>
        <w:t>blev en teknisk term för den måltid där ljuspartiklarna genom de utvaldas matsmältning skulle befrias från materien.</w:t>
      </w:r>
      <w:r w:rsidR="008266AF" w:rsidRPr="007B0ED8">
        <w:rPr>
          <w:rStyle w:val="Fotnotsreferens"/>
          <w:rFonts w:ascii="Times New Roman" w:hAnsi="Times New Roman" w:cs="Courier New"/>
          <w:sz w:val="24"/>
          <w:szCs w:val="24"/>
        </w:rPr>
        <w:footnoteReference w:id="30"/>
      </w:r>
      <w:r w:rsidR="006C46CE" w:rsidRPr="007B0ED8">
        <w:rPr>
          <w:rFonts w:ascii="Times New Roman" w:hAnsi="Times New Roman" w:cs="Courier New"/>
          <w:sz w:val="24"/>
          <w:szCs w:val="24"/>
        </w:rPr>
        <w:t xml:space="preserve"> </w:t>
      </w:r>
      <w:r w:rsidR="005C4EF5" w:rsidRPr="007B0ED8">
        <w:rPr>
          <w:rFonts w:ascii="Times New Roman" w:hAnsi="Times New Roman" w:cs="Courier New"/>
          <w:sz w:val="24"/>
          <w:szCs w:val="24"/>
        </w:rPr>
        <w:t>De utvalda stod givetvis även för undervisning och hade även ett större antal fastor av olika längd att iaktta. L</w:t>
      </w:r>
      <w:r w:rsidR="00DD0CCA" w:rsidRPr="007B0ED8">
        <w:rPr>
          <w:rFonts w:ascii="Times New Roman" w:hAnsi="Times New Roman" w:cs="Courier New"/>
          <w:sz w:val="24"/>
          <w:szCs w:val="24"/>
        </w:rPr>
        <w:t>ek</w:t>
      </w:r>
      <w:r w:rsidR="0084194B" w:rsidRPr="007B0ED8">
        <w:rPr>
          <w:rFonts w:ascii="Times New Roman" w:hAnsi="Times New Roman" w:cs="Courier New"/>
          <w:sz w:val="24"/>
          <w:szCs w:val="24"/>
        </w:rPr>
        <w:t xml:space="preserve">folket </w:t>
      </w:r>
      <w:r w:rsidR="00727163" w:rsidRPr="007B0ED8">
        <w:rPr>
          <w:rFonts w:ascii="Times New Roman" w:hAnsi="Times New Roman" w:cs="Courier New"/>
          <w:sz w:val="24"/>
          <w:szCs w:val="24"/>
        </w:rPr>
        <w:t xml:space="preserve">å sin sida </w:t>
      </w:r>
      <w:r w:rsidR="000F15CB" w:rsidRPr="007B0ED8">
        <w:rPr>
          <w:rFonts w:ascii="Times New Roman" w:hAnsi="Times New Roman" w:cs="Courier New"/>
          <w:sz w:val="24"/>
          <w:szCs w:val="24"/>
        </w:rPr>
        <w:t>skulle i långa stycken följa</w:t>
      </w:r>
      <w:r w:rsidR="00727163" w:rsidRPr="007B0ED8">
        <w:rPr>
          <w:rFonts w:ascii="Times New Roman" w:hAnsi="Times New Roman" w:cs="Courier New"/>
          <w:sz w:val="24"/>
          <w:szCs w:val="24"/>
        </w:rPr>
        <w:t xml:space="preserve"> de påbud som gällde för de utvalda, men de fick äta kött om de inte </w:t>
      </w:r>
      <w:r w:rsidR="00DD0CCA" w:rsidRPr="007B0ED8">
        <w:rPr>
          <w:rFonts w:ascii="Times New Roman" w:hAnsi="Times New Roman" w:cs="Courier New"/>
          <w:sz w:val="24"/>
          <w:szCs w:val="24"/>
        </w:rPr>
        <w:t xml:space="preserve">själva hade </w:t>
      </w:r>
      <w:r w:rsidR="00727163" w:rsidRPr="007B0ED8">
        <w:rPr>
          <w:rFonts w:ascii="Times New Roman" w:hAnsi="Times New Roman" w:cs="Courier New"/>
          <w:sz w:val="24"/>
          <w:szCs w:val="24"/>
        </w:rPr>
        <w:t xml:space="preserve">dödat djuret och </w:t>
      </w:r>
      <w:r w:rsidR="00052655" w:rsidRPr="007B0ED8">
        <w:rPr>
          <w:rFonts w:ascii="Times New Roman" w:hAnsi="Times New Roman" w:cs="Courier New"/>
          <w:sz w:val="24"/>
          <w:szCs w:val="24"/>
        </w:rPr>
        <w:t xml:space="preserve">de tilläts även </w:t>
      </w:r>
      <w:r w:rsidR="00727163" w:rsidRPr="007B0ED8">
        <w:rPr>
          <w:rFonts w:ascii="Times New Roman" w:hAnsi="Times New Roman" w:cs="Courier New"/>
          <w:sz w:val="24"/>
          <w:szCs w:val="24"/>
        </w:rPr>
        <w:t>ha sexuellt umgänge inom äktenskapet.</w:t>
      </w:r>
      <w:r w:rsidR="00052655" w:rsidRPr="007B0ED8">
        <w:rPr>
          <w:rFonts w:ascii="Times New Roman" w:hAnsi="Times New Roman" w:cs="Courier New"/>
          <w:sz w:val="24"/>
          <w:szCs w:val="24"/>
        </w:rPr>
        <w:t xml:space="preserve"> Idealet var dock att begränsa nativiteten för att bryta det kosmiska kretsloppet och på så vis påskynda befrielsen av de ljusa partiklarna</w:t>
      </w:r>
      <w:r w:rsidR="00420EB5" w:rsidRPr="007B0ED8">
        <w:rPr>
          <w:rFonts w:ascii="Times New Roman" w:hAnsi="Times New Roman" w:cs="Courier New"/>
          <w:sz w:val="24"/>
          <w:szCs w:val="24"/>
        </w:rPr>
        <w:t xml:space="preserve">. Men det var ett dogmatiskt ideal som vi genom dokumenten </w:t>
      </w:r>
      <w:r w:rsidR="00BE0F51" w:rsidRPr="007B0ED8">
        <w:rPr>
          <w:rFonts w:ascii="Times New Roman" w:hAnsi="Times New Roman" w:cs="Courier New"/>
          <w:sz w:val="24"/>
          <w:szCs w:val="24"/>
        </w:rPr>
        <w:t xml:space="preserve">från Kellis </w:t>
      </w:r>
      <w:r w:rsidR="00420EB5" w:rsidRPr="007B0ED8">
        <w:rPr>
          <w:rFonts w:ascii="Times New Roman" w:hAnsi="Times New Roman" w:cs="Courier New"/>
          <w:sz w:val="24"/>
          <w:szCs w:val="24"/>
        </w:rPr>
        <w:t xml:space="preserve">nu vet inte </w:t>
      </w:r>
      <w:proofErr w:type="gramStart"/>
      <w:r w:rsidR="00420EB5" w:rsidRPr="007B0ED8">
        <w:rPr>
          <w:rFonts w:ascii="Times New Roman" w:hAnsi="Times New Roman" w:cs="Courier New"/>
          <w:sz w:val="24"/>
          <w:szCs w:val="24"/>
        </w:rPr>
        <w:t>efterlevdes</w:t>
      </w:r>
      <w:proofErr w:type="gramEnd"/>
      <w:r w:rsidR="00FB20D8" w:rsidRPr="007B0ED8">
        <w:rPr>
          <w:rFonts w:ascii="Times New Roman" w:hAnsi="Times New Roman" w:cs="Courier New"/>
          <w:sz w:val="24"/>
          <w:szCs w:val="24"/>
        </w:rPr>
        <w:t>.</w:t>
      </w:r>
      <w:r w:rsidR="00FB20D8" w:rsidRPr="007B0ED8">
        <w:rPr>
          <w:rStyle w:val="Fotnotsreferens"/>
          <w:rFonts w:ascii="Times New Roman" w:hAnsi="Times New Roman" w:cs="Courier New"/>
          <w:sz w:val="24"/>
          <w:szCs w:val="24"/>
        </w:rPr>
        <w:footnoteReference w:id="31"/>
      </w:r>
      <w:r w:rsidR="002866C0" w:rsidRPr="007B0ED8">
        <w:rPr>
          <w:rFonts w:ascii="Times New Roman" w:hAnsi="Times New Roman" w:cs="Courier New"/>
          <w:sz w:val="24"/>
          <w:szCs w:val="24"/>
        </w:rPr>
        <w:t xml:space="preserve"> </w:t>
      </w:r>
      <w:r w:rsidR="00867A05" w:rsidRPr="007B0ED8">
        <w:rPr>
          <w:rFonts w:ascii="Times New Roman" w:hAnsi="Times New Roman" w:cs="Courier New"/>
          <w:sz w:val="24"/>
          <w:szCs w:val="24"/>
        </w:rPr>
        <w:t xml:space="preserve">Här är det mycket viktigt att understryka att det på intet vis framkommer en livsfientlig hållning i de manikeiska källor som vi nu har tillgång till genom </w:t>
      </w:r>
      <w:proofErr w:type="spellStart"/>
      <w:r w:rsidR="00867A05" w:rsidRPr="007B0ED8">
        <w:rPr>
          <w:rFonts w:ascii="Times New Roman" w:hAnsi="Times New Roman" w:cs="Courier New"/>
          <w:sz w:val="24"/>
          <w:szCs w:val="24"/>
        </w:rPr>
        <w:t>kellisdokumenten</w:t>
      </w:r>
      <w:proofErr w:type="spellEnd"/>
      <w:r w:rsidR="00867A05" w:rsidRPr="007B0ED8">
        <w:rPr>
          <w:rFonts w:ascii="Times New Roman" w:hAnsi="Times New Roman" w:cs="Courier New"/>
          <w:sz w:val="24"/>
          <w:szCs w:val="24"/>
        </w:rPr>
        <w:t>. I breven är omsorg om nära o</w:t>
      </w:r>
      <w:r w:rsidR="00C05F00" w:rsidRPr="007B0ED8">
        <w:rPr>
          <w:rFonts w:ascii="Times New Roman" w:hAnsi="Times New Roman" w:cs="Courier New"/>
          <w:sz w:val="24"/>
          <w:szCs w:val="24"/>
        </w:rPr>
        <w:t>c</w:t>
      </w:r>
      <w:r w:rsidR="00867A05" w:rsidRPr="007B0ED8">
        <w:rPr>
          <w:rFonts w:ascii="Times New Roman" w:hAnsi="Times New Roman" w:cs="Courier New"/>
          <w:sz w:val="24"/>
          <w:szCs w:val="24"/>
        </w:rPr>
        <w:t>h käras hälsa och välbefinnande ett centralt tema.</w:t>
      </w:r>
      <w:r w:rsidR="00125F56" w:rsidRPr="007B0ED8">
        <w:rPr>
          <w:rStyle w:val="Fotnotsreferens"/>
          <w:rFonts w:ascii="Times New Roman" w:hAnsi="Times New Roman" w:cs="Courier New"/>
          <w:sz w:val="24"/>
          <w:szCs w:val="24"/>
        </w:rPr>
        <w:footnoteReference w:id="32"/>
      </w:r>
      <w:r w:rsidR="00867A05" w:rsidRPr="007B0ED8">
        <w:rPr>
          <w:rFonts w:ascii="Times New Roman" w:hAnsi="Times New Roman" w:cs="Courier New"/>
          <w:sz w:val="24"/>
          <w:szCs w:val="24"/>
        </w:rPr>
        <w:t xml:space="preserve"> Stor sorg uttrycks över att inte ha fått vara nära en släkting som avlidit </w:t>
      </w:r>
      <w:r w:rsidR="00FA6D80" w:rsidRPr="007B0ED8">
        <w:rPr>
          <w:rFonts w:ascii="Times New Roman" w:hAnsi="Times New Roman" w:cs="Courier New"/>
          <w:sz w:val="24"/>
          <w:szCs w:val="24"/>
        </w:rPr>
        <w:t>etc</w:t>
      </w:r>
      <w:r w:rsidR="00867A05" w:rsidRPr="007B0ED8">
        <w:rPr>
          <w:rFonts w:ascii="Times New Roman" w:hAnsi="Times New Roman" w:cs="Courier New"/>
          <w:sz w:val="24"/>
          <w:szCs w:val="24"/>
        </w:rPr>
        <w:t>.</w:t>
      </w:r>
      <w:r w:rsidR="00750BAE" w:rsidRPr="007B0ED8">
        <w:rPr>
          <w:rStyle w:val="Fotnotsreferens"/>
          <w:rFonts w:ascii="Times New Roman" w:hAnsi="Times New Roman" w:cs="Courier New"/>
          <w:sz w:val="24"/>
          <w:szCs w:val="24"/>
        </w:rPr>
        <w:footnoteReference w:id="33"/>
      </w:r>
      <w:r w:rsidR="00867A05" w:rsidRPr="007B0ED8">
        <w:rPr>
          <w:rFonts w:ascii="Times New Roman" w:hAnsi="Times New Roman" w:cs="Courier New"/>
          <w:sz w:val="24"/>
          <w:szCs w:val="24"/>
        </w:rPr>
        <w:t xml:space="preserve"> </w:t>
      </w:r>
      <w:r w:rsidR="00DB4C52" w:rsidRPr="007B0ED8">
        <w:rPr>
          <w:rFonts w:ascii="Times New Roman" w:hAnsi="Times New Roman" w:cs="Courier New"/>
          <w:sz w:val="24"/>
          <w:szCs w:val="24"/>
        </w:rPr>
        <w:t>Vidare är p</w:t>
      </w:r>
      <w:r w:rsidR="00867A05" w:rsidRPr="007B0ED8">
        <w:rPr>
          <w:rFonts w:ascii="Times New Roman" w:hAnsi="Times New Roman" w:cs="Courier New"/>
          <w:sz w:val="24"/>
          <w:szCs w:val="24"/>
        </w:rPr>
        <w:t xml:space="preserve">raktiska ting av ekonomisk och annan natur viktiga. </w:t>
      </w:r>
      <w:r w:rsidR="00D54E98" w:rsidRPr="007B0ED8">
        <w:rPr>
          <w:rFonts w:ascii="Times New Roman" w:hAnsi="Times New Roman" w:cs="Courier New"/>
          <w:sz w:val="24"/>
          <w:szCs w:val="24"/>
        </w:rPr>
        <w:t xml:space="preserve">I det dokumentära materialet från Kellis är det svårt att hitta något brev som inte berör praktiska och ekonomiska angelägenheter. </w:t>
      </w:r>
      <w:r w:rsidR="00867A05" w:rsidRPr="007B0ED8">
        <w:rPr>
          <w:rFonts w:ascii="Times New Roman" w:hAnsi="Times New Roman" w:cs="Courier New"/>
          <w:sz w:val="24"/>
          <w:szCs w:val="24"/>
        </w:rPr>
        <w:t>Graden av religiöst engagemang varierar dessutom utifrån vad vi kan utläsa av breven.</w:t>
      </w:r>
      <w:r w:rsidR="00D54E98" w:rsidRPr="007B0ED8">
        <w:rPr>
          <w:rStyle w:val="Fotnotsreferens"/>
          <w:rFonts w:ascii="Times New Roman" w:hAnsi="Times New Roman" w:cs="Courier New"/>
          <w:sz w:val="24"/>
          <w:szCs w:val="24"/>
        </w:rPr>
        <w:footnoteReference w:id="34"/>
      </w:r>
      <w:r w:rsidR="00867A05" w:rsidRPr="007B0ED8">
        <w:rPr>
          <w:rFonts w:ascii="Times New Roman" w:hAnsi="Times New Roman" w:cs="Courier New"/>
          <w:sz w:val="24"/>
          <w:szCs w:val="24"/>
        </w:rPr>
        <w:t xml:space="preserve"> </w:t>
      </w:r>
    </w:p>
    <w:p w:rsidR="00C05F00" w:rsidRPr="007B0ED8" w:rsidRDefault="00C05F00" w:rsidP="00550EA1">
      <w:pPr>
        <w:autoSpaceDE w:val="0"/>
        <w:autoSpaceDN w:val="0"/>
        <w:adjustRightInd w:val="0"/>
        <w:spacing w:after="0" w:line="240" w:lineRule="auto"/>
        <w:rPr>
          <w:rFonts w:ascii="Times New Roman" w:hAnsi="Times New Roman" w:cs="Courier New"/>
          <w:sz w:val="24"/>
          <w:szCs w:val="24"/>
        </w:rPr>
      </w:pPr>
    </w:p>
    <w:p w:rsidR="00CC5145" w:rsidRPr="007B0ED8" w:rsidRDefault="00737CEA"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I l</w:t>
      </w:r>
      <w:r w:rsidR="00C05F00" w:rsidRPr="007B0ED8">
        <w:rPr>
          <w:rFonts w:ascii="Times New Roman" w:hAnsi="Times New Roman" w:cs="Courier New"/>
          <w:sz w:val="24"/>
          <w:szCs w:val="24"/>
        </w:rPr>
        <w:t>ikhet med de utvalda skulle även hörarna ägna sig åt bön. Det verkar troligt att bönen förrättades tre gånger per dygn</w:t>
      </w:r>
      <w:r w:rsidR="00E90A44" w:rsidRPr="007B0ED8">
        <w:rPr>
          <w:rFonts w:ascii="Times New Roman" w:hAnsi="Times New Roman" w:cs="Courier New"/>
          <w:sz w:val="24"/>
          <w:szCs w:val="24"/>
        </w:rPr>
        <w:t xml:space="preserve">, även om exakta tider och antal böner ofta är </w:t>
      </w:r>
      <w:r w:rsidR="00C05F00" w:rsidRPr="007B0ED8">
        <w:rPr>
          <w:rFonts w:ascii="Times New Roman" w:hAnsi="Times New Roman" w:cs="Courier New"/>
          <w:sz w:val="24"/>
          <w:szCs w:val="24"/>
        </w:rPr>
        <w:t>svårt a</w:t>
      </w:r>
      <w:r w:rsidR="00F34AFB" w:rsidRPr="007B0ED8">
        <w:rPr>
          <w:rFonts w:ascii="Times New Roman" w:hAnsi="Times New Roman" w:cs="Courier New"/>
          <w:sz w:val="24"/>
          <w:szCs w:val="24"/>
        </w:rPr>
        <w:t>t</w:t>
      </w:r>
      <w:r w:rsidR="00C05F00" w:rsidRPr="007B0ED8">
        <w:rPr>
          <w:rFonts w:ascii="Times New Roman" w:hAnsi="Times New Roman" w:cs="Courier New"/>
          <w:sz w:val="24"/>
          <w:szCs w:val="24"/>
        </w:rPr>
        <w:t>t fast</w:t>
      </w:r>
      <w:r w:rsidR="00E90A44" w:rsidRPr="007B0ED8">
        <w:rPr>
          <w:rFonts w:ascii="Times New Roman" w:hAnsi="Times New Roman" w:cs="Courier New"/>
          <w:sz w:val="24"/>
          <w:szCs w:val="24"/>
        </w:rPr>
        <w:t>ställa</w:t>
      </w:r>
      <w:r w:rsidR="00C05F00" w:rsidRPr="007B0ED8">
        <w:rPr>
          <w:rFonts w:ascii="Times New Roman" w:hAnsi="Times New Roman" w:cs="Courier New"/>
          <w:sz w:val="24"/>
          <w:szCs w:val="24"/>
        </w:rPr>
        <w:t xml:space="preserve">. Istället tyder mycket på att man </w:t>
      </w:r>
      <w:r w:rsidRPr="007B0ED8">
        <w:rPr>
          <w:rFonts w:ascii="Times New Roman" w:hAnsi="Times New Roman" w:cs="Courier New"/>
          <w:sz w:val="24"/>
          <w:szCs w:val="24"/>
        </w:rPr>
        <w:t>p</w:t>
      </w:r>
      <w:r w:rsidR="00C05F00" w:rsidRPr="007B0ED8">
        <w:rPr>
          <w:rFonts w:ascii="Times New Roman" w:hAnsi="Times New Roman" w:cs="Courier New"/>
          <w:sz w:val="24"/>
          <w:szCs w:val="24"/>
        </w:rPr>
        <w:t>åverkades av omgivningen. Där man var i minoritet förrättades bönen ofta vid samma tillfällen som omgivningen ägnade sig åt sina böner.</w:t>
      </w:r>
      <w:r w:rsidR="00C05F00" w:rsidRPr="007B0ED8">
        <w:rPr>
          <w:rStyle w:val="Fotnotsreferens"/>
          <w:rFonts w:ascii="Times New Roman" w:hAnsi="Times New Roman" w:cs="Courier New"/>
          <w:sz w:val="24"/>
          <w:szCs w:val="24"/>
        </w:rPr>
        <w:footnoteReference w:id="35"/>
      </w:r>
      <w:r w:rsidR="009105F7" w:rsidRPr="007B0ED8">
        <w:rPr>
          <w:rFonts w:ascii="Times New Roman" w:hAnsi="Times New Roman" w:cs="Courier New"/>
          <w:sz w:val="24"/>
          <w:szCs w:val="24"/>
        </w:rPr>
        <w:t xml:space="preserve"> </w:t>
      </w:r>
      <w:r w:rsidR="001D30C8" w:rsidRPr="007B0ED8">
        <w:rPr>
          <w:rFonts w:ascii="Times New Roman" w:hAnsi="Times New Roman" w:cs="Courier New"/>
          <w:sz w:val="24"/>
          <w:szCs w:val="24"/>
        </w:rPr>
        <w:t xml:space="preserve">Bönen föregicks av tvagningsceremonier och under bönen föll den bedjande till marken 12 gånger. </w:t>
      </w:r>
      <w:r w:rsidR="009105F7" w:rsidRPr="007B0ED8">
        <w:rPr>
          <w:rFonts w:ascii="Times New Roman" w:hAnsi="Times New Roman" w:cs="Courier New"/>
          <w:sz w:val="24"/>
          <w:szCs w:val="24"/>
        </w:rPr>
        <w:t>Men höraren hade också åtaganden vad gällde fasta. Höraren förväntades fasta 50 söndagar per år. Därutöver tillkom tvådagarsfastor vid fem tillfällen år</w:t>
      </w:r>
      <w:r w:rsidR="005865A1" w:rsidRPr="007B0ED8">
        <w:rPr>
          <w:rFonts w:ascii="Times New Roman" w:hAnsi="Times New Roman" w:cs="Courier New"/>
          <w:sz w:val="24"/>
          <w:szCs w:val="24"/>
        </w:rPr>
        <w:t>ligen</w:t>
      </w:r>
      <w:r w:rsidR="009105F7" w:rsidRPr="007B0ED8">
        <w:rPr>
          <w:rFonts w:ascii="Times New Roman" w:hAnsi="Times New Roman" w:cs="Courier New"/>
          <w:sz w:val="24"/>
          <w:szCs w:val="24"/>
        </w:rPr>
        <w:t>, samt en månad då man fastade under dagen och enbart åt under natten.</w:t>
      </w:r>
      <w:r w:rsidR="009105F7" w:rsidRPr="007B0ED8">
        <w:rPr>
          <w:rStyle w:val="Fotnotsreferens"/>
          <w:rFonts w:ascii="Times New Roman" w:hAnsi="Times New Roman" w:cs="Courier New"/>
          <w:sz w:val="24"/>
          <w:szCs w:val="24"/>
        </w:rPr>
        <w:footnoteReference w:id="36"/>
      </w:r>
      <w:r w:rsidR="00190060" w:rsidRPr="007B0ED8">
        <w:rPr>
          <w:rFonts w:ascii="Times New Roman" w:hAnsi="Times New Roman" w:cs="Courier New"/>
          <w:sz w:val="24"/>
          <w:szCs w:val="24"/>
        </w:rPr>
        <w:t xml:space="preserve"> </w:t>
      </w:r>
      <w:r w:rsidR="00CC110A" w:rsidRPr="007B0ED8">
        <w:rPr>
          <w:rFonts w:ascii="Times New Roman" w:hAnsi="Times New Roman" w:cs="Courier New"/>
          <w:sz w:val="24"/>
          <w:szCs w:val="24"/>
        </w:rPr>
        <w:t>F</w:t>
      </w:r>
      <w:r w:rsidR="00190060" w:rsidRPr="007B0ED8">
        <w:rPr>
          <w:rFonts w:ascii="Times New Roman" w:hAnsi="Times New Roman" w:cs="Courier New"/>
          <w:sz w:val="24"/>
          <w:szCs w:val="24"/>
        </w:rPr>
        <w:t xml:space="preserve">astan inbegrep även </w:t>
      </w:r>
      <w:r w:rsidR="00CC110A" w:rsidRPr="007B0ED8">
        <w:rPr>
          <w:rFonts w:ascii="Times New Roman" w:hAnsi="Times New Roman" w:cs="Courier New"/>
          <w:sz w:val="24"/>
          <w:szCs w:val="24"/>
        </w:rPr>
        <w:t>avhållsamhet från sex och</w:t>
      </w:r>
      <w:r w:rsidR="00190060" w:rsidRPr="007B0ED8">
        <w:rPr>
          <w:rFonts w:ascii="Times New Roman" w:hAnsi="Times New Roman" w:cs="Courier New"/>
          <w:sz w:val="24"/>
          <w:szCs w:val="24"/>
        </w:rPr>
        <w:t xml:space="preserve"> världsliga angelägenheter. Söndagens fasta fungerade som en </w:t>
      </w:r>
      <w:r w:rsidR="00190060" w:rsidRPr="007B0ED8">
        <w:rPr>
          <w:rFonts w:ascii="Times New Roman" w:hAnsi="Times New Roman" w:cs="Courier New"/>
          <w:sz w:val="24"/>
          <w:szCs w:val="24"/>
        </w:rPr>
        <w:lastRenderedPageBreak/>
        <w:t>möj</w:t>
      </w:r>
      <w:r w:rsidR="00CC110A" w:rsidRPr="007B0ED8">
        <w:rPr>
          <w:rFonts w:ascii="Times New Roman" w:hAnsi="Times New Roman" w:cs="Courier New"/>
          <w:sz w:val="24"/>
          <w:szCs w:val="24"/>
        </w:rPr>
        <w:t>l</w:t>
      </w:r>
      <w:r w:rsidR="00190060" w:rsidRPr="007B0ED8">
        <w:rPr>
          <w:rFonts w:ascii="Times New Roman" w:hAnsi="Times New Roman" w:cs="Courier New"/>
          <w:sz w:val="24"/>
          <w:szCs w:val="24"/>
        </w:rPr>
        <w:t xml:space="preserve">ighet till kontemplation och förberedelse </w:t>
      </w:r>
      <w:r w:rsidR="00CC110A" w:rsidRPr="007B0ED8">
        <w:rPr>
          <w:rFonts w:ascii="Times New Roman" w:hAnsi="Times New Roman" w:cs="Courier New"/>
          <w:sz w:val="24"/>
          <w:szCs w:val="24"/>
        </w:rPr>
        <w:t>in</w:t>
      </w:r>
      <w:r w:rsidR="00190060" w:rsidRPr="007B0ED8">
        <w:rPr>
          <w:rFonts w:ascii="Times New Roman" w:hAnsi="Times New Roman" w:cs="Courier New"/>
          <w:sz w:val="24"/>
          <w:szCs w:val="24"/>
        </w:rPr>
        <w:t>för den bikt som förväntades av höraren på måndagarna.</w:t>
      </w:r>
    </w:p>
    <w:p w:rsidR="00E90A44" w:rsidRPr="007B0ED8" w:rsidRDefault="00E90A44" w:rsidP="00550EA1">
      <w:pPr>
        <w:autoSpaceDE w:val="0"/>
        <w:autoSpaceDN w:val="0"/>
        <w:adjustRightInd w:val="0"/>
        <w:spacing w:after="0" w:line="240" w:lineRule="auto"/>
        <w:rPr>
          <w:rFonts w:ascii="Times New Roman" w:hAnsi="Times New Roman" w:cs="Courier New"/>
          <w:sz w:val="24"/>
          <w:szCs w:val="24"/>
        </w:rPr>
      </w:pPr>
    </w:p>
    <w:p w:rsidR="007C1147" w:rsidRPr="007B0ED8" w:rsidRDefault="00A6283B"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Synd för </w:t>
      </w:r>
      <w:proofErr w:type="gramStart"/>
      <w:r w:rsidRPr="007B0ED8">
        <w:rPr>
          <w:rFonts w:ascii="Times New Roman" w:hAnsi="Times New Roman" w:cs="Courier New"/>
          <w:sz w:val="24"/>
          <w:szCs w:val="24"/>
        </w:rPr>
        <w:t>manikéen</w:t>
      </w:r>
      <w:proofErr w:type="gramEnd"/>
      <w:r w:rsidRPr="007B0ED8">
        <w:rPr>
          <w:rFonts w:ascii="Times New Roman" w:hAnsi="Times New Roman" w:cs="Courier New"/>
          <w:sz w:val="24"/>
          <w:szCs w:val="24"/>
        </w:rPr>
        <w:t xml:space="preserve"> var givetvis om man inte hade klarat att tänka, tala och handla gott, men även om man begått våld på den ljusa materien. Man skulle i görligaste mån undvika att utöva våld, även i form av att skada växtlighet. Det gjorde att yrken relaterade till handel, läkekonst </w:t>
      </w:r>
      <w:r w:rsidR="00DE1580" w:rsidRPr="007B0ED8">
        <w:rPr>
          <w:rFonts w:ascii="Times New Roman" w:hAnsi="Times New Roman" w:cs="Courier New"/>
          <w:sz w:val="24"/>
          <w:szCs w:val="24"/>
        </w:rPr>
        <w:t>etc.</w:t>
      </w:r>
      <w:r w:rsidRPr="007B0ED8">
        <w:rPr>
          <w:rFonts w:ascii="Times New Roman" w:hAnsi="Times New Roman" w:cs="Courier New"/>
          <w:sz w:val="24"/>
          <w:szCs w:val="24"/>
        </w:rPr>
        <w:t xml:space="preserve"> var att rekommendera.</w:t>
      </w:r>
      <w:r w:rsidR="007C1147" w:rsidRPr="007B0ED8">
        <w:rPr>
          <w:rFonts w:ascii="Times New Roman" w:hAnsi="Times New Roman" w:cs="Courier New"/>
          <w:sz w:val="24"/>
          <w:szCs w:val="24"/>
        </w:rPr>
        <w:t xml:space="preserve"> Det våld </w:t>
      </w:r>
      <w:r w:rsidR="00CC5145" w:rsidRPr="007B0ED8">
        <w:rPr>
          <w:rFonts w:ascii="Times New Roman" w:hAnsi="Times New Roman" w:cs="Courier New"/>
          <w:sz w:val="24"/>
          <w:szCs w:val="24"/>
        </w:rPr>
        <w:t>s</w:t>
      </w:r>
      <w:r w:rsidR="007C1147" w:rsidRPr="007B0ED8">
        <w:rPr>
          <w:rFonts w:ascii="Times New Roman" w:hAnsi="Times New Roman" w:cs="Courier New"/>
          <w:sz w:val="24"/>
          <w:szCs w:val="24"/>
        </w:rPr>
        <w:t>o</w:t>
      </w:r>
      <w:r w:rsidR="00CC5145" w:rsidRPr="007B0ED8">
        <w:rPr>
          <w:rFonts w:ascii="Times New Roman" w:hAnsi="Times New Roman" w:cs="Courier New"/>
          <w:sz w:val="24"/>
          <w:szCs w:val="24"/>
        </w:rPr>
        <w:t>m man ändå svårligen kunde undvika, exempelvis att skörda jordens grödor, k</w:t>
      </w:r>
      <w:r w:rsidR="007C1147" w:rsidRPr="007B0ED8">
        <w:rPr>
          <w:rFonts w:ascii="Times New Roman" w:hAnsi="Times New Roman" w:cs="Courier New"/>
          <w:sz w:val="24"/>
          <w:szCs w:val="24"/>
        </w:rPr>
        <w:t>u</w:t>
      </w:r>
      <w:r w:rsidR="00CC5145" w:rsidRPr="007B0ED8">
        <w:rPr>
          <w:rFonts w:ascii="Times New Roman" w:hAnsi="Times New Roman" w:cs="Courier New"/>
          <w:sz w:val="24"/>
          <w:szCs w:val="24"/>
        </w:rPr>
        <w:t>nde få förlåtelse genom att man frambar en del till de utvaldas dagliga måltid.</w:t>
      </w:r>
    </w:p>
    <w:p w:rsidR="00153FD6" w:rsidRPr="007B0ED8" w:rsidRDefault="00153FD6" w:rsidP="00550EA1">
      <w:pPr>
        <w:autoSpaceDE w:val="0"/>
        <w:autoSpaceDN w:val="0"/>
        <w:adjustRightInd w:val="0"/>
        <w:spacing w:after="0" w:line="240" w:lineRule="auto"/>
        <w:rPr>
          <w:rFonts w:ascii="Times New Roman" w:hAnsi="Times New Roman" w:cs="Courier New"/>
          <w:sz w:val="24"/>
          <w:szCs w:val="24"/>
        </w:rPr>
      </w:pPr>
    </w:p>
    <w:p w:rsidR="00D953F4" w:rsidRPr="007B0ED8" w:rsidRDefault="00550EA1"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Hörarnas </w:t>
      </w:r>
      <w:r w:rsidR="00D953F4" w:rsidRPr="007B0ED8">
        <w:rPr>
          <w:rFonts w:ascii="Times New Roman" w:hAnsi="Times New Roman" w:cs="Courier New"/>
          <w:sz w:val="24"/>
          <w:szCs w:val="24"/>
        </w:rPr>
        <w:t xml:space="preserve">gåva </w:t>
      </w:r>
      <w:r w:rsidRPr="007B0ED8">
        <w:rPr>
          <w:rFonts w:ascii="Times New Roman" w:hAnsi="Times New Roman" w:cs="Courier New"/>
          <w:sz w:val="24"/>
          <w:szCs w:val="24"/>
        </w:rPr>
        <w:t>till de utvalda kallas ofta a</w:t>
      </w:r>
      <w:r w:rsidR="008C4540" w:rsidRPr="007B0ED8">
        <w:rPr>
          <w:rFonts w:ascii="Times New Roman" w:hAnsi="Times New Roman" w:cs="Courier New"/>
          <w:sz w:val="24"/>
          <w:szCs w:val="24"/>
        </w:rPr>
        <w:t>l</w:t>
      </w:r>
      <w:r w:rsidRPr="007B0ED8">
        <w:rPr>
          <w:rFonts w:ascii="Times New Roman" w:hAnsi="Times New Roman" w:cs="Courier New"/>
          <w:sz w:val="24"/>
          <w:szCs w:val="24"/>
        </w:rPr>
        <w:t xml:space="preserve">lmosa och kan då omfatta även annat stöd än förnödenheter till ”bordet”. </w:t>
      </w:r>
      <w:r w:rsidR="00D953F4" w:rsidRPr="007B0ED8">
        <w:rPr>
          <w:rFonts w:ascii="Times New Roman" w:hAnsi="Times New Roman" w:cs="Courier New"/>
          <w:sz w:val="24"/>
          <w:szCs w:val="24"/>
        </w:rPr>
        <w:t xml:space="preserve">Exempelvis kunde </w:t>
      </w:r>
      <w:proofErr w:type="gramStart"/>
      <w:r w:rsidR="00D953F4" w:rsidRPr="007B0ED8">
        <w:rPr>
          <w:rFonts w:ascii="Times New Roman" w:hAnsi="Times New Roman" w:cs="Courier New"/>
          <w:sz w:val="24"/>
          <w:szCs w:val="24"/>
        </w:rPr>
        <w:t>att skänka</w:t>
      </w:r>
      <w:proofErr w:type="gramEnd"/>
      <w:r w:rsidR="00D953F4" w:rsidRPr="007B0ED8">
        <w:rPr>
          <w:rFonts w:ascii="Times New Roman" w:hAnsi="Times New Roman" w:cs="Courier New"/>
          <w:sz w:val="24"/>
          <w:szCs w:val="24"/>
        </w:rPr>
        <w:t xml:space="preserve"> en slav till initiering som utvald och</w:t>
      </w:r>
      <w:r w:rsidR="005865A1" w:rsidRPr="007B0ED8">
        <w:rPr>
          <w:rFonts w:ascii="Times New Roman" w:hAnsi="Times New Roman" w:cs="Courier New"/>
          <w:sz w:val="24"/>
          <w:szCs w:val="24"/>
        </w:rPr>
        <w:t xml:space="preserve">/eller </w:t>
      </w:r>
      <w:r w:rsidR="00D953F4" w:rsidRPr="007B0ED8">
        <w:rPr>
          <w:rFonts w:ascii="Times New Roman" w:hAnsi="Times New Roman" w:cs="Courier New"/>
          <w:sz w:val="24"/>
          <w:szCs w:val="24"/>
        </w:rPr>
        <w:t>stöd till bokproduktion tjäna som religiösa meriter.</w:t>
      </w:r>
      <w:r w:rsidR="00A34472" w:rsidRPr="007B0ED8">
        <w:rPr>
          <w:rStyle w:val="Fotnotsreferens"/>
          <w:rFonts w:ascii="Times New Roman" w:hAnsi="Times New Roman" w:cs="Courier New"/>
          <w:sz w:val="24"/>
          <w:szCs w:val="24"/>
        </w:rPr>
        <w:footnoteReference w:id="37"/>
      </w:r>
    </w:p>
    <w:p w:rsidR="00153FD6" w:rsidRPr="007B0ED8" w:rsidRDefault="0098393C"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Det </w:t>
      </w:r>
      <w:proofErr w:type="gramStart"/>
      <w:r w:rsidRPr="007B0ED8">
        <w:rPr>
          <w:rFonts w:ascii="Times New Roman" w:hAnsi="Times New Roman" w:cs="Courier New"/>
          <w:sz w:val="24"/>
          <w:szCs w:val="24"/>
        </w:rPr>
        <w:t>oundgängliga</w:t>
      </w:r>
      <w:proofErr w:type="gramEnd"/>
      <w:r w:rsidRPr="007B0ED8">
        <w:rPr>
          <w:rFonts w:ascii="Times New Roman" w:hAnsi="Times New Roman" w:cs="Courier New"/>
          <w:sz w:val="24"/>
          <w:szCs w:val="24"/>
        </w:rPr>
        <w:t xml:space="preserve"> våld som trots allt krävdes för livets upprätthållande stod i centrum då höraren överlämnade sin a</w:t>
      </w:r>
      <w:r w:rsidR="008C4540" w:rsidRPr="007B0ED8">
        <w:rPr>
          <w:rFonts w:ascii="Times New Roman" w:hAnsi="Times New Roman" w:cs="Courier New"/>
          <w:sz w:val="24"/>
          <w:szCs w:val="24"/>
        </w:rPr>
        <w:t>l</w:t>
      </w:r>
      <w:r w:rsidRPr="007B0ED8">
        <w:rPr>
          <w:rFonts w:ascii="Times New Roman" w:hAnsi="Times New Roman" w:cs="Courier New"/>
          <w:sz w:val="24"/>
          <w:szCs w:val="24"/>
        </w:rPr>
        <w:t>lmosa till de utvalda. De utvalda bad över den vegetariska kost som lämnats. Innebörden kunde formuleras på olika sätt, men grundtanken var att den utvalda själv inte begått våld mot grödorna och därmed kunde den bön om förlåtelse som uttalades komma höraren till</w:t>
      </w:r>
      <w:r w:rsidR="00466EE5" w:rsidRPr="007B0ED8">
        <w:rPr>
          <w:rFonts w:ascii="Times New Roman" w:hAnsi="Times New Roman" w:cs="Courier New"/>
          <w:sz w:val="24"/>
          <w:szCs w:val="24"/>
        </w:rPr>
        <w:t>godo</w:t>
      </w:r>
      <w:r w:rsidRPr="007B0ED8">
        <w:rPr>
          <w:rFonts w:ascii="Times New Roman" w:hAnsi="Times New Roman" w:cs="Courier New"/>
          <w:sz w:val="24"/>
          <w:szCs w:val="24"/>
        </w:rPr>
        <w:t>.</w:t>
      </w:r>
      <w:r w:rsidR="00466EE5" w:rsidRPr="007B0ED8">
        <w:rPr>
          <w:rFonts w:ascii="Times New Roman" w:hAnsi="Times New Roman" w:cs="Courier New"/>
          <w:sz w:val="24"/>
          <w:szCs w:val="24"/>
        </w:rPr>
        <w:t xml:space="preserve"> </w:t>
      </w:r>
      <w:r w:rsidRPr="007B0ED8">
        <w:rPr>
          <w:rFonts w:ascii="Times New Roman" w:hAnsi="Times New Roman" w:cs="Courier New"/>
          <w:sz w:val="24"/>
          <w:szCs w:val="24"/>
        </w:rPr>
        <w:t xml:space="preserve">Att införlivandet av </w:t>
      </w:r>
      <w:r w:rsidR="00466EE5" w:rsidRPr="007B0ED8">
        <w:rPr>
          <w:rFonts w:ascii="Times New Roman" w:hAnsi="Times New Roman" w:cs="Courier New"/>
          <w:sz w:val="24"/>
          <w:szCs w:val="24"/>
        </w:rPr>
        <w:t>grödorna i den rituella måltiden också ledde till befrielse för de ljuspartiklar som man ansåg var fjättrade i kosten gjorde också a</w:t>
      </w:r>
      <w:r w:rsidR="009C3CA3" w:rsidRPr="007B0ED8">
        <w:rPr>
          <w:rFonts w:ascii="Times New Roman" w:hAnsi="Times New Roman" w:cs="Courier New"/>
          <w:sz w:val="24"/>
          <w:szCs w:val="24"/>
        </w:rPr>
        <w:t>t</w:t>
      </w:r>
      <w:r w:rsidR="00466EE5" w:rsidRPr="007B0ED8">
        <w:rPr>
          <w:rFonts w:ascii="Times New Roman" w:hAnsi="Times New Roman" w:cs="Courier New"/>
          <w:sz w:val="24"/>
          <w:szCs w:val="24"/>
        </w:rPr>
        <w:t xml:space="preserve">t det våld som höraren </w:t>
      </w:r>
      <w:proofErr w:type="gramStart"/>
      <w:r w:rsidR="00466EE5" w:rsidRPr="007B0ED8">
        <w:rPr>
          <w:rFonts w:ascii="Times New Roman" w:hAnsi="Times New Roman" w:cs="Courier New"/>
          <w:sz w:val="24"/>
          <w:szCs w:val="24"/>
        </w:rPr>
        <w:t>åsamkat</w:t>
      </w:r>
      <w:proofErr w:type="gramEnd"/>
      <w:r w:rsidR="00466EE5" w:rsidRPr="007B0ED8">
        <w:rPr>
          <w:rFonts w:ascii="Times New Roman" w:hAnsi="Times New Roman" w:cs="Courier New"/>
          <w:sz w:val="24"/>
          <w:szCs w:val="24"/>
        </w:rPr>
        <w:t xml:space="preserve"> ljuspartiklarna trots allt ledde till ljusets befrielse.</w:t>
      </w:r>
      <w:r w:rsidR="00466EE5" w:rsidRPr="007B0ED8">
        <w:rPr>
          <w:rStyle w:val="Fotnotsreferens"/>
          <w:rFonts w:ascii="Times New Roman" w:hAnsi="Times New Roman" w:cs="Courier New"/>
          <w:sz w:val="24"/>
          <w:szCs w:val="24"/>
        </w:rPr>
        <w:footnoteReference w:id="38"/>
      </w:r>
      <w:r w:rsidR="00466EE5" w:rsidRPr="007B0ED8">
        <w:rPr>
          <w:rFonts w:ascii="Times New Roman" w:hAnsi="Times New Roman" w:cs="Courier New"/>
          <w:sz w:val="24"/>
          <w:szCs w:val="24"/>
        </w:rPr>
        <w:t xml:space="preserve"> </w:t>
      </w:r>
    </w:p>
    <w:p w:rsidR="00153FD6" w:rsidRPr="007B0ED8" w:rsidRDefault="00153FD6" w:rsidP="00550EA1">
      <w:pPr>
        <w:autoSpaceDE w:val="0"/>
        <w:autoSpaceDN w:val="0"/>
        <w:adjustRightInd w:val="0"/>
        <w:spacing w:after="0" w:line="240" w:lineRule="auto"/>
        <w:rPr>
          <w:rFonts w:ascii="Times New Roman" w:hAnsi="Times New Roman" w:cs="Courier New"/>
          <w:sz w:val="24"/>
          <w:szCs w:val="24"/>
        </w:rPr>
      </w:pPr>
    </w:p>
    <w:p w:rsidR="00DC2C9B" w:rsidRPr="007B0ED8" w:rsidRDefault="009C3CA3"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Men förutsättningen för a</w:t>
      </w:r>
      <w:r w:rsidR="00DC2C9B" w:rsidRPr="007B0ED8">
        <w:rPr>
          <w:rFonts w:ascii="Times New Roman" w:hAnsi="Times New Roman" w:cs="Courier New"/>
          <w:sz w:val="24"/>
          <w:szCs w:val="24"/>
        </w:rPr>
        <w:t>t</w:t>
      </w:r>
      <w:r w:rsidRPr="007B0ED8">
        <w:rPr>
          <w:rFonts w:ascii="Times New Roman" w:hAnsi="Times New Roman" w:cs="Courier New"/>
          <w:sz w:val="24"/>
          <w:szCs w:val="24"/>
        </w:rPr>
        <w:t>t befrielsen skulle kunna äga rum var att de utvalda verkligen levt upp till sina religiösa förpliktelser. En gåva som med gott uppsåt lämnats till en ovärdig utvald var verkningslös</w:t>
      </w:r>
      <w:r w:rsidR="000B1FA7" w:rsidRPr="007B0ED8">
        <w:rPr>
          <w:rFonts w:ascii="Times New Roman" w:hAnsi="Times New Roman" w:cs="Courier New"/>
          <w:sz w:val="24"/>
          <w:szCs w:val="24"/>
        </w:rPr>
        <w:t xml:space="preserve"> och således kunde inte höraren få förlåtelse för den synd som våldet mot grödorna utgjorde</w:t>
      </w:r>
      <w:r w:rsidRPr="007B0ED8">
        <w:rPr>
          <w:rFonts w:ascii="Times New Roman" w:hAnsi="Times New Roman" w:cs="Courier New"/>
          <w:sz w:val="24"/>
          <w:szCs w:val="24"/>
        </w:rPr>
        <w:t>.</w:t>
      </w:r>
      <w:r w:rsidR="00B23EC6" w:rsidRPr="007B0ED8">
        <w:rPr>
          <w:rFonts w:ascii="Times New Roman" w:hAnsi="Times New Roman" w:cs="Courier New"/>
          <w:sz w:val="24"/>
          <w:szCs w:val="24"/>
        </w:rPr>
        <w:t xml:space="preserve"> Det berodde på att man ansåg att det var en rent mekanisk process som måltiden innebar. Den utvalda skulle genom att ha levt på rätt sätt genom sin matsmältning frigöra ljuset. En del källor går så långt att såväl den utvalda som höraren </w:t>
      </w:r>
      <w:r w:rsidR="00E347FF" w:rsidRPr="007B0ED8">
        <w:rPr>
          <w:rFonts w:ascii="Times New Roman" w:hAnsi="Times New Roman" w:cs="Courier New"/>
          <w:sz w:val="24"/>
          <w:szCs w:val="24"/>
        </w:rPr>
        <w:t xml:space="preserve">var dömda till </w:t>
      </w:r>
      <w:r w:rsidR="00B23EC6" w:rsidRPr="007B0ED8">
        <w:rPr>
          <w:rFonts w:ascii="Times New Roman" w:hAnsi="Times New Roman" w:cs="Courier New"/>
          <w:sz w:val="24"/>
          <w:szCs w:val="24"/>
        </w:rPr>
        <w:t>helvetet om måltiden inte varit effektiv.</w:t>
      </w:r>
      <w:r w:rsidR="00B23EC6" w:rsidRPr="007B0ED8">
        <w:rPr>
          <w:rStyle w:val="Fotnotsreferens"/>
          <w:rFonts w:ascii="Times New Roman" w:hAnsi="Times New Roman" w:cs="Courier New"/>
          <w:sz w:val="24"/>
          <w:szCs w:val="24"/>
        </w:rPr>
        <w:footnoteReference w:id="39"/>
      </w:r>
      <w:r w:rsidR="00481119" w:rsidRPr="007B0ED8">
        <w:rPr>
          <w:rFonts w:ascii="Times New Roman" w:hAnsi="Times New Roman" w:cs="Courier New"/>
          <w:sz w:val="24"/>
          <w:szCs w:val="24"/>
        </w:rPr>
        <w:t xml:space="preserve"> Det här ledde således till att de utvalda hade ett ovi</w:t>
      </w:r>
      <w:r w:rsidR="008C4540" w:rsidRPr="007B0ED8">
        <w:rPr>
          <w:rFonts w:ascii="Times New Roman" w:hAnsi="Times New Roman" w:cs="Courier New"/>
          <w:sz w:val="24"/>
          <w:szCs w:val="24"/>
        </w:rPr>
        <w:t>l</w:t>
      </w:r>
      <w:r w:rsidR="00481119" w:rsidRPr="007B0ED8">
        <w:rPr>
          <w:rFonts w:ascii="Times New Roman" w:hAnsi="Times New Roman" w:cs="Courier New"/>
          <w:sz w:val="24"/>
          <w:szCs w:val="24"/>
        </w:rPr>
        <w:t>lkorligt krav på sig att förse de utvalda med mat till sin måltid och en utvald som fått dåligt rykte kunde inte räkna med att få någon mat alls.</w:t>
      </w:r>
    </w:p>
    <w:p w:rsidR="001A40F0" w:rsidRPr="007B0ED8" w:rsidRDefault="001A40F0" w:rsidP="00550EA1">
      <w:pPr>
        <w:autoSpaceDE w:val="0"/>
        <w:autoSpaceDN w:val="0"/>
        <w:adjustRightInd w:val="0"/>
        <w:spacing w:after="0" w:line="240" w:lineRule="auto"/>
        <w:rPr>
          <w:rFonts w:ascii="Times New Roman" w:hAnsi="Times New Roman" w:cs="Courier New"/>
          <w:sz w:val="24"/>
          <w:szCs w:val="24"/>
        </w:rPr>
      </w:pPr>
    </w:p>
    <w:p w:rsidR="00E347FF" w:rsidRPr="007B0ED8" w:rsidRDefault="00DC2C9B"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Ett annat viktigt krav var att maten överlämnades på korrekt sätt. En kvinna kunde inte överlämna mat till en manlig utvald,</w:t>
      </w:r>
      <w:r w:rsidRPr="007B0ED8">
        <w:rPr>
          <w:rStyle w:val="Fotnotsreferens"/>
          <w:rFonts w:ascii="Times New Roman" w:hAnsi="Times New Roman" w:cs="Courier New"/>
          <w:sz w:val="24"/>
          <w:szCs w:val="24"/>
        </w:rPr>
        <w:footnoteReference w:id="40"/>
      </w:r>
      <w:r w:rsidRPr="007B0ED8">
        <w:rPr>
          <w:rFonts w:ascii="Times New Roman" w:hAnsi="Times New Roman" w:cs="Courier New"/>
          <w:sz w:val="24"/>
          <w:szCs w:val="24"/>
        </w:rPr>
        <w:t xml:space="preserve"> </w:t>
      </w:r>
      <w:proofErr w:type="gramStart"/>
      <w:r w:rsidRPr="007B0ED8">
        <w:rPr>
          <w:rFonts w:ascii="Times New Roman" w:hAnsi="Times New Roman" w:cs="Courier New"/>
          <w:sz w:val="24"/>
          <w:szCs w:val="24"/>
        </w:rPr>
        <w:t>ej</w:t>
      </w:r>
      <w:proofErr w:type="gramEnd"/>
      <w:r w:rsidRPr="007B0ED8">
        <w:rPr>
          <w:rFonts w:ascii="Times New Roman" w:hAnsi="Times New Roman" w:cs="Courier New"/>
          <w:sz w:val="24"/>
          <w:szCs w:val="24"/>
        </w:rPr>
        <w:t xml:space="preserve"> heller kunde en man överlämna mat till en kvinna. </w:t>
      </w:r>
      <w:r w:rsidR="001A40F0" w:rsidRPr="007B0ED8">
        <w:rPr>
          <w:rFonts w:ascii="Times New Roman" w:hAnsi="Times New Roman" w:cs="Courier New"/>
          <w:sz w:val="24"/>
          <w:szCs w:val="24"/>
        </w:rPr>
        <w:t>Då det fanns såväl kvinnliga som manliga utvalda måste dessa motsvaras av både kvinnliga som manliga frambärare av gåvorna</w:t>
      </w:r>
      <w:r w:rsidRPr="007B0ED8">
        <w:rPr>
          <w:rFonts w:ascii="Times New Roman" w:hAnsi="Times New Roman" w:cs="Courier New"/>
          <w:sz w:val="24"/>
          <w:szCs w:val="24"/>
        </w:rPr>
        <w:t>.</w:t>
      </w:r>
      <w:r w:rsidR="006541BC" w:rsidRPr="007B0ED8">
        <w:rPr>
          <w:rStyle w:val="Fotnotsreferens"/>
          <w:rFonts w:ascii="Times New Roman" w:hAnsi="Times New Roman" w:cs="Courier New"/>
          <w:sz w:val="24"/>
          <w:szCs w:val="24"/>
        </w:rPr>
        <w:footnoteReference w:id="41"/>
      </w:r>
      <w:r w:rsidR="00ED2126" w:rsidRPr="007B0ED8">
        <w:rPr>
          <w:rFonts w:ascii="Times New Roman" w:hAnsi="Times New Roman" w:cs="Courier New"/>
          <w:sz w:val="24"/>
          <w:szCs w:val="24"/>
        </w:rPr>
        <w:t xml:space="preserve"> Vidare beledsagades överlämnandet av </w:t>
      </w:r>
      <w:r w:rsidR="008406A8" w:rsidRPr="007B0ED8">
        <w:rPr>
          <w:rFonts w:ascii="Times New Roman" w:hAnsi="Times New Roman" w:cs="Courier New"/>
          <w:sz w:val="24"/>
          <w:szCs w:val="24"/>
        </w:rPr>
        <w:t>hymnisk sång.</w:t>
      </w:r>
      <w:r w:rsidR="006541BC" w:rsidRPr="007B0ED8">
        <w:rPr>
          <w:rFonts w:ascii="Times New Roman" w:hAnsi="Times New Roman" w:cs="Courier New"/>
          <w:sz w:val="24"/>
          <w:szCs w:val="24"/>
        </w:rPr>
        <w:t xml:space="preserve"> Hörarna sjunger om att de utvalda ska ta emot gåvorna i glädje och skänka förlåtelse till hörarna, medan de utvalda sjungande bekräftar detta.</w:t>
      </w:r>
      <w:r w:rsidR="006541BC" w:rsidRPr="007B0ED8">
        <w:rPr>
          <w:rStyle w:val="Fotnotsreferens"/>
          <w:rFonts w:ascii="Times New Roman" w:hAnsi="Times New Roman" w:cs="Courier New"/>
          <w:sz w:val="24"/>
          <w:szCs w:val="24"/>
        </w:rPr>
        <w:footnoteReference w:id="42"/>
      </w:r>
    </w:p>
    <w:p w:rsidR="00AA322B" w:rsidRPr="007B0ED8" w:rsidRDefault="00AA322B" w:rsidP="00550EA1">
      <w:pPr>
        <w:autoSpaceDE w:val="0"/>
        <w:autoSpaceDN w:val="0"/>
        <w:adjustRightInd w:val="0"/>
        <w:spacing w:after="0" w:line="240" w:lineRule="auto"/>
        <w:rPr>
          <w:rFonts w:ascii="Times New Roman" w:hAnsi="Times New Roman" w:cs="Courier New"/>
          <w:sz w:val="24"/>
          <w:szCs w:val="24"/>
        </w:rPr>
      </w:pPr>
    </w:p>
    <w:p w:rsidR="00DC2C9B" w:rsidRPr="007B0ED8" w:rsidRDefault="00E347FF"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Vi vet inte så mycket om vad som sedan skedde. </w:t>
      </w:r>
      <w:r w:rsidR="00FC72D8" w:rsidRPr="007B0ED8">
        <w:rPr>
          <w:rFonts w:ascii="Times New Roman" w:hAnsi="Times New Roman" w:cs="Courier New"/>
          <w:sz w:val="24"/>
          <w:szCs w:val="24"/>
        </w:rPr>
        <w:t>Men d</w:t>
      </w:r>
      <w:r w:rsidRPr="007B0ED8">
        <w:rPr>
          <w:rFonts w:ascii="Times New Roman" w:hAnsi="Times New Roman" w:cs="Courier New"/>
          <w:sz w:val="24"/>
          <w:szCs w:val="24"/>
        </w:rPr>
        <w:t xml:space="preserve">et verkar relativt säkert att det vanligaste bruket var att hörare och utvalda skiljdes åt innan de utvalda inledde den rituella </w:t>
      </w:r>
      <w:r w:rsidRPr="007B0ED8">
        <w:rPr>
          <w:rFonts w:ascii="Times New Roman" w:hAnsi="Times New Roman" w:cs="Courier New"/>
          <w:sz w:val="24"/>
          <w:szCs w:val="24"/>
        </w:rPr>
        <w:lastRenderedPageBreak/>
        <w:t xml:space="preserve">måltiden. De utvalda koncentrerade sig nu på att bli effektiva överförare av den ljusa materien till den andliga sfären. Detta inbegrep </w:t>
      </w:r>
      <w:proofErr w:type="spellStart"/>
      <w:r w:rsidRPr="007B0ED8">
        <w:rPr>
          <w:rFonts w:ascii="Times New Roman" w:hAnsi="Times New Roman" w:cs="Courier New"/>
          <w:sz w:val="24"/>
          <w:szCs w:val="24"/>
        </w:rPr>
        <w:t>recitering</w:t>
      </w:r>
      <w:proofErr w:type="spellEnd"/>
      <w:r w:rsidRPr="007B0ED8">
        <w:rPr>
          <w:rFonts w:ascii="Times New Roman" w:hAnsi="Times New Roman" w:cs="Courier New"/>
          <w:sz w:val="24"/>
          <w:szCs w:val="24"/>
        </w:rPr>
        <w:t xml:space="preserve"> av böner samt </w:t>
      </w:r>
      <w:r w:rsidR="00F9704A" w:rsidRPr="007B0ED8">
        <w:rPr>
          <w:rFonts w:ascii="Times New Roman" w:hAnsi="Times New Roman" w:cs="Courier New"/>
          <w:sz w:val="24"/>
          <w:szCs w:val="24"/>
        </w:rPr>
        <w:t>sång och prostrationer.</w:t>
      </w:r>
      <w:r w:rsidR="00F9704A" w:rsidRPr="007B0ED8">
        <w:rPr>
          <w:rStyle w:val="Fotnotsreferens"/>
          <w:rFonts w:ascii="Times New Roman" w:hAnsi="Times New Roman" w:cs="Courier New"/>
          <w:sz w:val="24"/>
          <w:szCs w:val="24"/>
        </w:rPr>
        <w:footnoteReference w:id="43"/>
      </w:r>
      <w:r w:rsidR="008406A8" w:rsidRPr="007B0ED8">
        <w:rPr>
          <w:rFonts w:ascii="Times New Roman" w:hAnsi="Times New Roman" w:cs="Courier New"/>
          <w:sz w:val="24"/>
          <w:szCs w:val="24"/>
        </w:rPr>
        <w:t xml:space="preserve"> </w:t>
      </w:r>
      <w:r w:rsidR="00DC2C9B" w:rsidRPr="007B0ED8">
        <w:rPr>
          <w:rFonts w:ascii="Times New Roman" w:hAnsi="Times New Roman" w:cs="Courier New"/>
          <w:sz w:val="24"/>
          <w:szCs w:val="24"/>
        </w:rPr>
        <w:t xml:space="preserve">  </w:t>
      </w:r>
    </w:p>
    <w:p w:rsidR="00FB3B7A" w:rsidRPr="007B0ED8" w:rsidRDefault="00FB3B7A" w:rsidP="00550EA1">
      <w:pPr>
        <w:autoSpaceDE w:val="0"/>
        <w:autoSpaceDN w:val="0"/>
        <w:adjustRightInd w:val="0"/>
        <w:spacing w:after="0" w:line="240" w:lineRule="auto"/>
        <w:rPr>
          <w:rFonts w:ascii="Times New Roman" w:hAnsi="Times New Roman" w:cs="Courier New"/>
          <w:sz w:val="24"/>
          <w:szCs w:val="24"/>
        </w:rPr>
      </w:pPr>
    </w:p>
    <w:p w:rsidR="002554AF" w:rsidRPr="007B0ED8" w:rsidRDefault="00806061"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Givetvis kunde inte alla hörare dagligen själva bära fram maten ti</w:t>
      </w:r>
      <w:r w:rsidR="00FE7FCB" w:rsidRPr="007B0ED8">
        <w:rPr>
          <w:rFonts w:ascii="Times New Roman" w:hAnsi="Times New Roman" w:cs="Courier New"/>
          <w:sz w:val="24"/>
          <w:szCs w:val="24"/>
        </w:rPr>
        <w:t>l</w:t>
      </w:r>
      <w:r w:rsidRPr="007B0ED8">
        <w:rPr>
          <w:rFonts w:ascii="Times New Roman" w:hAnsi="Times New Roman" w:cs="Courier New"/>
          <w:sz w:val="24"/>
          <w:szCs w:val="24"/>
        </w:rPr>
        <w:t>l de utvalda. Då kunde representanter för flera hörare förrätta detta värv</w:t>
      </w:r>
      <w:r w:rsidR="00FE7FCB" w:rsidRPr="007B0ED8">
        <w:rPr>
          <w:rFonts w:ascii="Times New Roman" w:hAnsi="Times New Roman" w:cs="Courier New"/>
          <w:sz w:val="24"/>
          <w:szCs w:val="24"/>
        </w:rPr>
        <w:t>, även om det var vanligt med flera hörare som överlämnade maten</w:t>
      </w:r>
      <w:r w:rsidRPr="007B0ED8">
        <w:rPr>
          <w:rFonts w:ascii="Times New Roman" w:hAnsi="Times New Roman" w:cs="Courier New"/>
          <w:sz w:val="24"/>
          <w:szCs w:val="24"/>
        </w:rPr>
        <w:t>.</w:t>
      </w:r>
      <w:r w:rsidR="00FE7FCB" w:rsidRPr="007B0ED8">
        <w:rPr>
          <w:rStyle w:val="Fotnotsreferens"/>
          <w:rFonts w:ascii="Times New Roman" w:hAnsi="Times New Roman" w:cs="Courier New"/>
          <w:sz w:val="24"/>
          <w:szCs w:val="24"/>
        </w:rPr>
        <w:footnoteReference w:id="44"/>
      </w:r>
      <w:r w:rsidRPr="007B0ED8">
        <w:rPr>
          <w:rFonts w:ascii="Times New Roman" w:hAnsi="Times New Roman" w:cs="Courier New"/>
          <w:sz w:val="24"/>
          <w:szCs w:val="24"/>
        </w:rPr>
        <w:t xml:space="preserve"> Vidare var det inte heller så att varje hörare förväntades ha ordnat mat. Istället kunde man organisera sig så att några ordnade exempelvis all olivolja.</w:t>
      </w:r>
      <w:r w:rsidRPr="007B0ED8">
        <w:rPr>
          <w:rStyle w:val="Fotnotsreferens"/>
          <w:rFonts w:ascii="Times New Roman" w:hAnsi="Times New Roman" w:cs="Courier New"/>
          <w:sz w:val="24"/>
          <w:szCs w:val="24"/>
        </w:rPr>
        <w:footnoteReference w:id="45"/>
      </w:r>
      <w:r w:rsidR="00C32D1F" w:rsidRPr="007B0ED8">
        <w:rPr>
          <w:rFonts w:ascii="Times New Roman" w:hAnsi="Times New Roman" w:cs="Courier New"/>
          <w:sz w:val="24"/>
          <w:szCs w:val="24"/>
        </w:rPr>
        <w:t xml:space="preserve"> På så vis börjar bilden likna det bruk som var vanligt på kristet håll</w:t>
      </w:r>
      <w:r w:rsidR="00522615" w:rsidRPr="007B0ED8">
        <w:rPr>
          <w:rFonts w:ascii="Times New Roman" w:hAnsi="Times New Roman" w:cs="Courier New"/>
          <w:sz w:val="24"/>
          <w:szCs w:val="24"/>
        </w:rPr>
        <w:t>.</w:t>
      </w:r>
      <w:r w:rsidR="00484DD1" w:rsidRPr="007B0ED8">
        <w:rPr>
          <w:rFonts w:ascii="Times New Roman" w:hAnsi="Times New Roman" w:cs="Courier New"/>
          <w:sz w:val="24"/>
          <w:szCs w:val="24"/>
        </w:rPr>
        <w:t xml:space="preserve"> </w:t>
      </w:r>
      <w:r w:rsidR="00522615" w:rsidRPr="007B0ED8">
        <w:rPr>
          <w:rFonts w:ascii="Times New Roman" w:hAnsi="Times New Roman" w:cs="Courier New"/>
          <w:sz w:val="24"/>
          <w:szCs w:val="24"/>
        </w:rPr>
        <w:t>D</w:t>
      </w:r>
      <w:r w:rsidR="00484DD1" w:rsidRPr="007B0ED8">
        <w:rPr>
          <w:rFonts w:ascii="Times New Roman" w:hAnsi="Times New Roman" w:cs="Courier New"/>
          <w:sz w:val="24"/>
          <w:szCs w:val="24"/>
        </w:rPr>
        <w:t xml:space="preserve">är </w:t>
      </w:r>
      <w:r w:rsidR="00522615" w:rsidRPr="007B0ED8">
        <w:rPr>
          <w:rFonts w:ascii="Times New Roman" w:hAnsi="Times New Roman" w:cs="Courier New"/>
          <w:sz w:val="24"/>
          <w:szCs w:val="24"/>
        </w:rPr>
        <w:t xml:space="preserve">organiserades </w:t>
      </w:r>
      <w:r w:rsidR="00484DD1" w:rsidRPr="007B0ED8">
        <w:rPr>
          <w:rFonts w:ascii="Times New Roman" w:hAnsi="Times New Roman" w:cs="Courier New"/>
          <w:sz w:val="24"/>
          <w:szCs w:val="24"/>
        </w:rPr>
        <w:t>utdelandet av medel till kyrkan och annat barmhärtighetsvärv ofta kollektivt</w:t>
      </w:r>
      <w:r w:rsidR="002554AF" w:rsidRPr="007B0ED8">
        <w:rPr>
          <w:rFonts w:ascii="Times New Roman" w:hAnsi="Times New Roman" w:cs="Courier New"/>
          <w:sz w:val="24"/>
          <w:szCs w:val="24"/>
        </w:rPr>
        <w:t>.</w:t>
      </w:r>
    </w:p>
    <w:p w:rsidR="002554AF" w:rsidRPr="007B0ED8" w:rsidRDefault="002554AF" w:rsidP="00550EA1">
      <w:pPr>
        <w:autoSpaceDE w:val="0"/>
        <w:autoSpaceDN w:val="0"/>
        <w:adjustRightInd w:val="0"/>
        <w:spacing w:after="0" w:line="240" w:lineRule="auto"/>
        <w:rPr>
          <w:rFonts w:ascii="Times New Roman" w:hAnsi="Times New Roman" w:cs="Courier New"/>
          <w:sz w:val="24"/>
          <w:szCs w:val="24"/>
        </w:rPr>
      </w:pPr>
    </w:p>
    <w:p w:rsidR="00E0015F" w:rsidRPr="007B0ED8" w:rsidRDefault="00C32D1F"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Hörarna förväntades avsätta en tiondel av sina förmögenheter till de utvalda enligt det arabiska materialet, men enligt annat material avsattes så mycket som en sjundedel.</w:t>
      </w:r>
      <w:r w:rsidR="00B026F1" w:rsidRPr="007B0ED8">
        <w:rPr>
          <w:rStyle w:val="Fotnotsreferens"/>
          <w:rFonts w:ascii="Times New Roman" w:hAnsi="Times New Roman" w:cs="Courier New"/>
          <w:sz w:val="24"/>
          <w:szCs w:val="24"/>
        </w:rPr>
        <w:footnoteReference w:id="46"/>
      </w:r>
      <w:r w:rsidRPr="007B0ED8">
        <w:rPr>
          <w:rFonts w:ascii="Times New Roman" w:hAnsi="Times New Roman" w:cs="Courier New"/>
          <w:sz w:val="24"/>
          <w:szCs w:val="24"/>
        </w:rPr>
        <w:t xml:space="preserve"> </w:t>
      </w:r>
      <w:r w:rsidR="00FE7FCB" w:rsidRPr="007B0ED8">
        <w:rPr>
          <w:rFonts w:ascii="Times New Roman" w:hAnsi="Times New Roman" w:cs="Courier New"/>
          <w:sz w:val="24"/>
          <w:szCs w:val="24"/>
        </w:rPr>
        <w:t xml:space="preserve"> </w:t>
      </w:r>
    </w:p>
    <w:p w:rsidR="00105F8E" w:rsidRPr="00BB4786" w:rsidRDefault="00105F8E" w:rsidP="00105F8E">
      <w:pPr>
        <w:pStyle w:val="Rubrik2"/>
        <w:rPr>
          <w:rFonts w:ascii="Times New Roman" w:hAnsi="Times New Roman"/>
        </w:rPr>
      </w:pPr>
      <w:r w:rsidRPr="00BB4786">
        <w:rPr>
          <w:rFonts w:ascii="Times New Roman" w:hAnsi="Times New Roman"/>
        </w:rPr>
        <w:t>Nya glimtar</w:t>
      </w:r>
    </w:p>
    <w:p w:rsidR="00602462" w:rsidRPr="007B0ED8" w:rsidRDefault="00602462"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I början av artikeln berörde jag problemen när vi arbetar med jämförande religionshistoria. I konstruktionen av manikeism har jag som de flesta andra byggt upp en bild utifrån många olika källor från skiftande tider och rum. När vi nu något ska diskutera det nya material som vi fått genom utgrävningarna i Kellis ska vi se om vi utifrån detta kan modifiera synen på den rituella måltiden. Materialet tillåter emellertid inga säkra slutsatser, men jag ska försöka att lägga fram ett förslag. </w:t>
      </w:r>
      <w:r w:rsidR="00522168" w:rsidRPr="007B0ED8">
        <w:rPr>
          <w:rFonts w:ascii="Times New Roman" w:hAnsi="Times New Roman" w:cs="Courier New"/>
          <w:sz w:val="24"/>
          <w:szCs w:val="24"/>
        </w:rPr>
        <w:t>L</w:t>
      </w:r>
      <w:r w:rsidRPr="007B0ED8">
        <w:rPr>
          <w:rFonts w:ascii="Times New Roman" w:hAnsi="Times New Roman" w:cs="Courier New"/>
          <w:sz w:val="24"/>
          <w:szCs w:val="24"/>
        </w:rPr>
        <w:t xml:space="preserve">ängre än så kommer vi inte i nuläget. </w:t>
      </w:r>
      <w:r w:rsidR="007654CE" w:rsidRPr="007B0ED8">
        <w:rPr>
          <w:rFonts w:ascii="Times New Roman" w:hAnsi="Times New Roman" w:cs="Courier New"/>
          <w:sz w:val="24"/>
          <w:szCs w:val="24"/>
        </w:rPr>
        <w:t>Vi börjar med en kort diskussion om måltiden i det arabiska materialet. Där kommer jag understryka några saker som sedan kan vara av betydelse för tolkningen av dokumenten</w:t>
      </w:r>
      <w:r w:rsidR="005426A4" w:rsidRPr="007B0ED8">
        <w:rPr>
          <w:rFonts w:ascii="Times New Roman" w:hAnsi="Times New Roman" w:cs="Courier New"/>
          <w:sz w:val="24"/>
          <w:szCs w:val="24"/>
        </w:rPr>
        <w:t xml:space="preserve"> från Kellis</w:t>
      </w:r>
      <w:r w:rsidR="007654CE" w:rsidRPr="007B0ED8">
        <w:rPr>
          <w:rFonts w:ascii="Times New Roman" w:hAnsi="Times New Roman" w:cs="Courier New"/>
          <w:sz w:val="24"/>
          <w:szCs w:val="24"/>
        </w:rPr>
        <w:t>.</w:t>
      </w:r>
    </w:p>
    <w:p w:rsidR="00602462" w:rsidRPr="007B0ED8" w:rsidRDefault="00602462" w:rsidP="00550EA1">
      <w:pPr>
        <w:autoSpaceDE w:val="0"/>
        <w:autoSpaceDN w:val="0"/>
        <w:adjustRightInd w:val="0"/>
        <w:spacing w:after="0" w:line="240" w:lineRule="auto"/>
        <w:rPr>
          <w:rFonts w:ascii="Times New Roman" w:hAnsi="Times New Roman" w:cs="Courier New"/>
          <w:sz w:val="24"/>
        </w:rPr>
      </w:pPr>
    </w:p>
    <w:p w:rsidR="00602462" w:rsidRPr="007B0ED8" w:rsidRDefault="00602462" w:rsidP="00602462">
      <w:pPr>
        <w:pStyle w:val="Rubrik3"/>
        <w:rPr>
          <w:rFonts w:ascii="Times New Roman" w:hAnsi="Times New Roman"/>
          <w:sz w:val="24"/>
        </w:rPr>
      </w:pPr>
      <w:r w:rsidRPr="007B0ED8">
        <w:rPr>
          <w:rFonts w:ascii="Times New Roman" w:hAnsi="Times New Roman"/>
          <w:sz w:val="24"/>
        </w:rPr>
        <w:t xml:space="preserve">Firades bordets högtid </w:t>
      </w:r>
      <w:r w:rsidR="002B20A1" w:rsidRPr="007B0ED8">
        <w:rPr>
          <w:rFonts w:ascii="Times New Roman" w:hAnsi="Times New Roman"/>
          <w:sz w:val="24"/>
        </w:rPr>
        <w:t>på arabiskt område</w:t>
      </w:r>
      <w:r w:rsidRPr="007B0ED8">
        <w:rPr>
          <w:rFonts w:ascii="Times New Roman" w:hAnsi="Times New Roman"/>
          <w:sz w:val="24"/>
        </w:rPr>
        <w:t>?</w:t>
      </w:r>
    </w:p>
    <w:p w:rsidR="00906487" w:rsidRPr="007B0ED8" w:rsidRDefault="00550EA1" w:rsidP="00906487">
      <w:pPr>
        <w:spacing w:after="0" w:line="240" w:lineRule="auto"/>
        <w:rPr>
          <w:rFonts w:ascii="Times New Roman" w:hAnsi="Times New Roman" w:cs="Times New Roman"/>
          <w:sz w:val="24"/>
          <w:szCs w:val="24"/>
        </w:rPr>
      </w:pPr>
      <w:r w:rsidRPr="007B0ED8">
        <w:rPr>
          <w:rFonts w:ascii="Times New Roman" w:hAnsi="Times New Roman" w:cs="Courier New"/>
          <w:sz w:val="24"/>
          <w:szCs w:val="24"/>
        </w:rPr>
        <w:t>I det arabiska materialet nämns aldrig den rituella måltiden, vilket kan bero på att An-</w:t>
      </w:r>
      <w:proofErr w:type="spellStart"/>
      <w:r w:rsidRPr="007B0ED8">
        <w:rPr>
          <w:rFonts w:ascii="Times New Roman" w:hAnsi="Times New Roman" w:cs="Courier New"/>
          <w:sz w:val="24"/>
          <w:szCs w:val="24"/>
        </w:rPr>
        <w:t>Nadim</w:t>
      </w:r>
      <w:proofErr w:type="spellEnd"/>
      <w:r w:rsidRPr="007B0ED8">
        <w:rPr>
          <w:rFonts w:ascii="Times New Roman" w:hAnsi="Times New Roman" w:cs="Courier New"/>
          <w:sz w:val="24"/>
          <w:szCs w:val="24"/>
        </w:rPr>
        <w:t xml:space="preserve"> och al-</w:t>
      </w:r>
      <w:proofErr w:type="spellStart"/>
      <w:r w:rsidRPr="007B0ED8">
        <w:rPr>
          <w:rFonts w:ascii="Times New Roman" w:hAnsi="Times New Roman" w:cs="Courier New"/>
          <w:sz w:val="24"/>
          <w:szCs w:val="24"/>
        </w:rPr>
        <w:t>Biruni</w:t>
      </w:r>
      <w:proofErr w:type="spellEnd"/>
      <w:r w:rsidRPr="007B0ED8">
        <w:rPr>
          <w:rFonts w:ascii="Times New Roman" w:hAnsi="Times New Roman" w:cs="Courier New"/>
          <w:sz w:val="24"/>
          <w:szCs w:val="24"/>
        </w:rPr>
        <w:t xml:space="preserve"> inte själva hade tillgån</w:t>
      </w:r>
      <w:r w:rsidR="008C4540" w:rsidRPr="007B0ED8">
        <w:rPr>
          <w:rFonts w:ascii="Times New Roman" w:hAnsi="Times New Roman" w:cs="Courier New"/>
          <w:sz w:val="24"/>
          <w:szCs w:val="24"/>
        </w:rPr>
        <w:t>g</w:t>
      </w:r>
      <w:r w:rsidRPr="007B0ED8">
        <w:rPr>
          <w:rFonts w:ascii="Times New Roman" w:hAnsi="Times New Roman" w:cs="Courier New"/>
          <w:sz w:val="24"/>
          <w:szCs w:val="24"/>
        </w:rPr>
        <w:t xml:space="preserve"> till manikeiska informanter, utan tolkade de texter som de hade til</w:t>
      </w:r>
      <w:r w:rsidR="008C4540" w:rsidRPr="007B0ED8">
        <w:rPr>
          <w:rFonts w:ascii="Times New Roman" w:hAnsi="Times New Roman" w:cs="Courier New"/>
          <w:sz w:val="24"/>
          <w:szCs w:val="24"/>
        </w:rPr>
        <w:t>l</w:t>
      </w:r>
      <w:r w:rsidRPr="007B0ED8">
        <w:rPr>
          <w:rFonts w:ascii="Times New Roman" w:hAnsi="Times New Roman" w:cs="Courier New"/>
          <w:sz w:val="24"/>
          <w:szCs w:val="24"/>
        </w:rPr>
        <w:t>gång till i ljuset av muslimsk tradition. Även där har ju a</w:t>
      </w:r>
      <w:r w:rsidR="008C4540" w:rsidRPr="007B0ED8">
        <w:rPr>
          <w:rFonts w:ascii="Times New Roman" w:hAnsi="Times New Roman" w:cs="Courier New"/>
          <w:sz w:val="24"/>
          <w:szCs w:val="24"/>
        </w:rPr>
        <w:t>l</w:t>
      </w:r>
      <w:r w:rsidRPr="007B0ED8">
        <w:rPr>
          <w:rFonts w:ascii="Times New Roman" w:hAnsi="Times New Roman" w:cs="Courier New"/>
          <w:sz w:val="24"/>
          <w:szCs w:val="24"/>
        </w:rPr>
        <w:t xml:space="preserve">lmosan en framträdande ställning och detta kan vara ett exempel på hur lätt det är att missförstå texter när man ser dem utifrån sin egen tradition. Det är inte bara ett problem för antikens muslimska exegeter av manikeism, utan sannerligen också något som </w:t>
      </w:r>
      <w:r w:rsidR="007C1147" w:rsidRPr="007B0ED8">
        <w:rPr>
          <w:rFonts w:ascii="Times New Roman" w:hAnsi="Times New Roman" w:cs="Courier New"/>
          <w:sz w:val="24"/>
          <w:szCs w:val="24"/>
        </w:rPr>
        <w:t xml:space="preserve">jag haft </w:t>
      </w:r>
      <w:r w:rsidRPr="007B0ED8">
        <w:rPr>
          <w:rFonts w:ascii="Times New Roman" w:hAnsi="Times New Roman" w:cs="Courier New"/>
          <w:sz w:val="24"/>
          <w:szCs w:val="24"/>
        </w:rPr>
        <w:t xml:space="preserve">att brottas med </w:t>
      </w:r>
      <w:r w:rsidR="007C1147" w:rsidRPr="007B0ED8">
        <w:rPr>
          <w:rFonts w:ascii="Times New Roman" w:hAnsi="Times New Roman" w:cs="Courier New"/>
          <w:sz w:val="24"/>
          <w:szCs w:val="24"/>
        </w:rPr>
        <w:t xml:space="preserve">under författandet </w:t>
      </w:r>
      <w:r w:rsidRPr="007B0ED8">
        <w:rPr>
          <w:rFonts w:ascii="Times New Roman" w:hAnsi="Times New Roman" w:cs="Courier New"/>
          <w:sz w:val="24"/>
          <w:szCs w:val="24"/>
        </w:rPr>
        <w:t>av den här artikeln.</w:t>
      </w:r>
      <w:r w:rsidR="00D953F4" w:rsidRPr="007B0ED8">
        <w:rPr>
          <w:rFonts w:ascii="Times New Roman" w:hAnsi="Times New Roman" w:cs="Courier New"/>
          <w:sz w:val="24"/>
          <w:szCs w:val="24"/>
        </w:rPr>
        <w:t xml:space="preserve"> </w:t>
      </w:r>
      <w:r w:rsidR="00796FB7" w:rsidRPr="007B0ED8">
        <w:rPr>
          <w:rFonts w:ascii="Times New Roman" w:hAnsi="Times New Roman" w:cs="Courier New"/>
          <w:sz w:val="24"/>
          <w:szCs w:val="24"/>
        </w:rPr>
        <w:t>Den rituel</w:t>
      </w:r>
      <w:r w:rsidR="00751421" w:rsidRPr="007B0ED8">
        <w:rPr>
          <w:rFonts w:ascii="Times New Roman" w:hAnsi="Times New Roman" w:cs="Courier New"/>
          <w:sz w:val="24"/>
          <w:szCs w:val="24"/>
        </w:rPr>
        <w:t>l</w:t>
      </w:r>
      <w:r w:rsidR="00796FB7" w:rsidRPr="007B0ED8">
        <w:rPr>
          <w:rFonts w:ascii="Times New Roman" w:hAnsi="Times New Roman" w:cs="Courier New"/>
          <w:sz w:val="24"/>
          <w:szCs w:val="24"/>
        </w:rPr>
        <w:t>a måltiden var dock så central att den knappast kan ha försvunnit, trots at</w:t>
      </w:r>
      <w:r w:rsidR="0088215C" w:rsidRPr="007B0ED8">
        <w:rPr>
          <w:rFonts w:ascii="Times New Roman" w:hAnsi="Times New Roman" w:cs="Courier New"/>
          <w:sz w:val="24"/>
          <w:szCs w:val="24"/>
        </w:rPr>
        <w:t>t</w:t>
      </w:r>
      <w:r w:rsidR="00796FB7" w:rsidRPr="007B0ED8">
        <w:rPr>
          <w:rFonts w:ascii="Times New Roman" w:hAnsi="Times New Roman" w:cs="Courier New"/>
          <w:sz w:val="24"/>
          <w:szCs w:val="24"/>
        </w:rPr>
        <w:t xml:space="preserve"> den al</w:t>
      </w:r>
      <w:r w:rsidR="0088215C" w:rsidRPr="007B0ED8">
        <w:rPr>
          <w:rFonts w:ascii="Times New Roman" w:hAnsi="Times New Roman" w:cs="Courier New"/>
          <w:sz w:val="24"/>
          <w:szCs w:val="24"/>
        </w:rPr>
        <w:t>l</w:t>
      </w:r>
      <w:r w:rsidR="00796FB7" w:rsidRPr="007B0ED8">
        <w:rPr>
          <w:rFonts w:ascii="Times New Roman" w:hAnsi="Times New Roman" w:cs="Courier New"/>
          <w:sz w:val="24"/>
          <w:szCs w:val="24"/>
        </w:rPr>
        <w:t>tså inte omnämns i det arabiska materialet.</w:t>
      </w:r>
      <w:r w:rsidR="00751421" w:rsidRPr="007B0ED8">
        <w:rPr>
          <w:rFonts w:ascii="Times New Roman" w:hAnsi="Times New Roman" w:cs="Courier New"/>
          <w:sz w:val="24"/>
          <w:szCs w:val="24"/>
        </w:rPr>
        <w:t xml:space="preserve"> Det gör att vi har anledning att våga tolka de ledtrådar</w:t>
      </w:r>
      <w:r w:rsidR="006C2842" w:rsidRPr="007B0ED8">
        <w:rPr>
          <w:rFonts w:ascii="Times New Roman" w:hAnsi="Times New Roman" w:cs="Courier New"/>
          <w:sz w:val="24"/>
          <w:szCs w:val="24"/>
        </w:rPr>
        <w:t xml:space="preserve"> som al-</w:t>
      </w:r>
      <w:proofErr w:type="spellStart"/>
      <w:r w:rsidR="006C2842" w:rsidRPr="007B0ED8">
        <w:rPr>
          <w:rFonts w:ascii="Times New Roman" w:hAnsi="Times New Roman" w:cs="Courier New"/>
          <w:sz w:val="24"/>
          <w:szCs w:val="24"/>
        </w:rPr>
        <w:t>Biruni</w:t>
      </w:r>
      <w:proofErr w:type="spellEnd"/>
      <w:r w:rsidR="006C2842" w:rsidRPr="007B0ED8">
        <w:rPr>
          <w:rFonts w:ascii="Times New Roman" w:hAnsi="Times New Roman" w:cs="Courier New"/>
          <w:sz w:val="24"/>
          <w:szCs w:val="24"/>
        </w:rPr>
        <w:t xml:space="preserve"> ändå lämnar utif</w:t>
      </w:r>
      <w:r w:rsidR="00751421" w:rsidRPr="007B0ED8">
        <w:rPr>
          <w:rFonts w:ascii="Times New Roman" w:hAnsi="Times New Roman" w:cs="Courier New"/>
          <w:sz w:val="24"/>
          <w:szCs w:val="24"/>
        </w:rPr>
        <w:t>r</w:t>
      </w:r>
      <w:r w:rsidR="006C2842" w:rsidRPr="007B0ED8">
        <w:rPr>
          <w:rFonts w:ascii="Times New Roman" w:hAnsi="Times New Roman" w:cs="Courier New"/>
          <w:sz w:val="24"/>
          <w:szCs w:val="24"/>
        </w:rPr>
        <w:t>å</w:t>
      </w:r>
      <w:r w:rsidR="00751421" w:rsidRPr="007B0ED8">
        <w:rPr>
          <w:rFonts w:ascii="Times New Roman" w:hAnsi="Times New Roman" w:cs="Courier New"/>
          <w:sz w:val="24"/>
          <w:szCs w:val="24"/>
        </w:rPr>
        <w:t xml:space="preserve">n </w:t>
      </w:r>
      <w:r w:rsidR="006C2842" w:rsidRPr="007B0ED8">
        <w:rPr>
          <w:rFonts w:ascii="Times New Roman" w:hAnsi="Times New Roman" w:cs="Courier New"/>
          <w:sz w:val="24"/>
          <w:szCs w:val="24"/>
        </w:rPr>
        <w:t xml:space="preserve">antagandet </w:t>
      </w:r>
      <w:r w:rsidR="00751421" w:rsidRPr="007B0ED8">
        <w:rPr>
          <w:rFonts w:ascii="Times New Roman" w:hAnsi="Times New Roman" w:cs="Courier New"/>
          <w:sz w:val="24"/>
          <w:szCs w:val="24"/>
        </w:rPr>
        <w:t xml:space="preserve">att den nattliga ritualmåltiden ägde rum </w:t>
      </w:r>
      <w:r w:rsidR="0018239E" w:rsidRPr="007B0ED8">
        <w:rPr>
          <w:rFonts w:ascii="Times New Roman" w:hAnsi="Times New Roman" w:cs="Courier New"/>
          <w:sz w:val="24"/>
          <w:szCs w:val="24"/>
        </w:rPr>
        <w:t xml:space="preserve">även </w:t>
      </w:r>
      <w:r w:rsidR="00751421" w:rsidRPr="007B0ED8">
        <w:rPr>
          <w:rFonts w:ascii="Times New Roman" w:hAnsi="Times New Roman" w:cs="Courier New"/>
          <w:sz w:val="24"/>
          <w:szCs w:val="24"/>
        </w:rPr>
        <w:t>bland manikéerna på arabiskt område.</w:t>
      </w:r>
      <w:r w:rsidR="008C4540" w:rsidRPr="007B0ED8">
        <w:rPr>
          <w:rFonts w:ascii="Times New Roman" w:hAnsi="Times New Roman" w:cs="Courier New"/>
          <w:sz w:val="24"/>
          <w:szCs w:val="24"/>
        </w:rPr>
        <w:t xml:space="preserve"> Vi kan se a</w:t>
      </w:r>
      <w:r w:rsidR="0018239E" w:rsidRPr="007B0ED8">
        <w:rPr>
          <w:rFonts w:ascii="Times New Roman" w:hAnsi="Times New Roman" w:cs="Courier New"/>
          <w:sz w:val="24"/>
          <w:szCs w:val="24"/>
        </w:rPr>
        <w:t>tt tidpunkten för de utvaldas respektive hörarnas böner anpassats utifrån muslimska vanor och därigenom skiljer sig tidpunkterna jämfört med det östligare mate</w:t>
      </w:r>
      <w:r w:rsidR="00706BAC" w:rsidRPr="007B0ED8">
        <w:rPr>
          <w:rFonts w:ascii="Times New Roman" w:hAnsi="Times New Roman" w:cs="Courier New"/>
          <w:sz w:val="24"/>
          <w:szCs w:val="24"/>
        </w:rPr>
        <w:t>r</w:t>
      </w:r>
      <w:r w:rsidR="0018239E" w:rsidRPr="007B0ED8">
        <w:rPr>
          <w:rFonts w:ascii="Times New Roman" w:hAnsi="Times New Roman" w:cs="Courier New"/>
          <w:sz w:val="24"/>
          <w:szCs w:val="24"/>
        </w:rPr>
        <w:t>ialet.</w:t>
      </w:r>
      <w:r w:rsidR="0018239E" w:rsidRPr="007B0ED8">
        <w:rPr>
          <w:rStyle w:val="Fotnotsreferens"/>
          <w:rFonts w:ascii="Times New Roman" w:hAnsi="Times New Roman" w:cs="Courier New"/>
          <w:sz w:val="24"/>
          <w:szCs w:val="24"/>
        </w:rPr>
        <w:footnoteReference w:id="47"/>
      </w:r>
      <w:r w:rsidR="00706BAC" w:rsidRPr="007B0ED8">
        <w:rPr>
          <w:rFonts w:ascii="Times New Roman" w:hAnsi="Times New Roman" w:cs="Courier New"/>
          <w:sz w:val="24"/>
          <w:szCs w:val="24"/>
        </w:rPr>
        <w:t xml:space="preserve"> </w:t>
      </w:r>
      <w:r w:rsidR="00E464B3" w:rsidRPr="007B0ED8">
        <w:rPr>
          <w:rFonts w:ascii="Times New Roman" w:hAnsi="Times New Roman" w:cs="Courier New"/>
          <w:sz w:val="24"/>
          <w:szCs w:val="24"/>
        </w:rPr>
        <w:t>Det normala hade varit att den rituella måltiden inle</w:t>
      </w:r>
      <w:r w:rsidR="008C4540" w:rsidRPr="007B0ED8">
        <w:rPr>
          <w:rFonts w:ascii="Times New Roman" w:hAnsi="Times New Roman" w:cs="Courier New"/>
          <w:sz w:val="24"/>
          <w:szCs w:val="24"/>
        </w:rPr>
        <w:t>t</w:t>
      </w:r>
      <w:r w:rsidR="00E464B3" w:rsidRPr="007B0ED8">
        <w:rPr>
          <w:rFonts w:ascii="Times New Roman" w:hAnsi="Times New Roman" w:cs="Courier New"/>
          <w:sz w:val="24"/>
          <w:szCs w:val="24"/>
        </w:rPr>
        <w:t>ts när solen är på väg att gå ned, men då detta inte var til</w:t>
      </w:r>
      <w:r w:rsidR="008C4540" w:rsidRPr="007B0ED8">
        <w:rPr>
          <w:rFonts w:ascii="Times New Roman" w:hAnsi="Times New Roman" w:cs="Courier New"/>
          <w:sz w:val="24"/>
          <w:szCs w:val="24"/>
        </w:rPr>
        <w:t>låtet på muslimskt område försk</w:t>
      </w:r>
      <w:r w:rsidR="00E464B3" w:rsidRPr="007B0ED8">
        <w:rPr>
          <w:rFonts w:ascii="Times New Roman" w:hAnsi="Times New Roman" w:cs="Courier New"/>
          <w:sz w:val="24"/>
          <w:szCs w:val="24"/>
        </w:rPr>
        <w:t>öt man tiden något</w:t>
      </w:r>
      <w:r w:rsidR="00906487" w:rsidRPr="007B0ED8">
        <w:rPr>
          <w:rFonts w:ascii="Times New Roman" w:hAnsi="Times New Roman" w:cs="Courier New"/>
          <w:sz w:val="24"/>
          <w:szCs w:val="24"/>
        </w:rPr>
        <w:t>.</w:t>
      </w:r>
      <w:r w:rsidR="00906487" w:rsidRPr="007B0ED8">
        <w:rPr>
          <w:rStyle w:val="Fotnotsreferens"/>
          <w:rFonts w:ascii="Times New Roman" w:hAnsi="Times New Roman" w:cs="Courier New"/>
          <w:sz w:val="24"/>
          <w:szCs w:val="24"/>
        </w:rPr>
        <w:footnoteReference w:id="48"/>
      </w:r>
      <w:r w:rsidR="00906487" w:rsidRPr="007B0ED8">
        <w:rPr>
          <w:rFonts w:ascii="Times New Roman" w:hAnsi="Times New Roman" w:cs="Courier New"/>
          <w:sz w:val="24"/>
          <w:szCs w:val="24"/>
        </w:rPr>
        <w:t xml:space="preserve"> </w:t>
      </w:r>
    </w:p>
    <w:p w:rsidR="00E464B3" w:rsidRPr="007B0ED8" w:rsidRDefault="00906487"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 </w:t>
      </w:r>
    </w:p>
    <w:p w:rsidR="00DB29E1" w:rsidRPr="007B0ED8" w:rsidRDefault="00706BAC"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lastRenderedPageBreak/>
        <w:t>Vanligtvis brukar hörarnas och de utval</w:t>
      </w:r>
      <w:r w:rsidR="00D26B46" w:rsidRPr="007B0ED8">
        <w:rPr>
          <w:rFonts w:ascii="Times New Roman" w:hAnsi="Times New Roman" w:cs="Courier New"/>
          <w:sz w:val="24"/>
          <w:szCs w:val="24"/>
        </w:rPr>
        <w:t>das böner förrättas på rätt skil</w:t>
      </w:r>
      <w:r w:rsidRPr="007B0ED8">
        <w:rPr>
          <w:rFonts w:ascii="Times New Roman" w:hAnsi="Times New Roman" w:cs="Courier New"/>
          <w:sz w:val="24"/>
          <w:szCs w:val="24"/>
        </w:rPr>
        <w:t>da tider enligt det arabiska materialet. Hörarna har där fyra dagliga böner, medan de utvalda har sju. Normalt skil</w:t>
      </w:r>
      <w:r w:rsidR="005C110A" w:rsidRPr="007B0ED8">
        <w:rPr>
          <w:rFonts w:ascii="Times New Roman" w:hAnsi="Times New Roman" w:cs="Courier New"/>
          <w:sz w:val="24"/>
          <w:szCs w:val="24"/>
        </w:rPr>
        <w:t xml:space="preserve">jer det cirka tre timmar </w:t>
      </w:r>
      <w:r w:rsidR="00D26B46" w:rsidRPr="007B0ED8">
        <w:rPr>
          <w:rFonts w:ascii="Times New Roman" w:hAnsi="Times New Roman" w:cs="Courier New"/>
          <w:sz w:val="24"/>
          <w:szCs w:val="24"/>
        </w:rPr>
        <w:t>mella</w:t>
      </w:r>
      <w:r w:rsidRPr="007B0ED8">
        <w:rPr>
          <w:rFonts w:ascii="Times New Roman" w:hAnsi="Times New Roman" w:cs="Courier New"/>
          <w:sz w:val="24"/>
          <w:szCs w:val="24"/>
        </w:rPr>
        <w:t xml:space="preserve">n </w:t>
      </w:r>
      <w:r w:rsidR="005C110A" w:rsidRPr="007B0ED8">
        <w:rPr>
          <w:rFonts w:ascii="Times New Roman" w:hAnsi="Times New Roman" w:cs="Courier New"/>
          <w:sz w:val="24"/>
          <w:szCs w:val="24"/>
        </w:rPr>
        <w:t>det att hörarna ber till dess att de utvalda gör det.</w:t>
      </w:r>
      <w:r w:rsidRPr="007B0ED8">
        <w:rPr>
          <w:rFonts w:ascii="Times New Roman" w:hAnsi="Times New Roman" w:cs="Courier New"/>
          <w:sz w:val="24"/>
          <w:szCs w:val="24"/>
        </w:rPr>
        <w:t xml:space="preserve"> Men bönen som förrättas just efter so</w:t>
      </w:r>
      <w:r w:rsidR="005C110A" w:rsidRPr="007B0ED8">
        <w:rPr>
          <w:rFonts w:ascii="Times New Roman" w:hAnsi="Times New Roman" w:cs="Courier New"/>
          <w:sz w:val="24"/>
          <w:szCs w:val="24"/>
        </w:rPr>
        <w:t>l</w:t>
      </w:r>
      <w:r w:rsidRPr="007B0ED8">
        <w:rPr>
          <w:rFonts w:ascii="Times New Roman" w:hAnsi="Times New Roman" w:cs="Courier New"/>
          <w:sz w:val="24"/>
          <w:szCs w:val="24"/>
        </w:rPr>
        <w:t>nedgången sammanfaller i tid. Där sägs såväl hörare som utvalda falla ned i prostration 25 gånger. Därefter har de utvalda ytterligare en lika omfattande bön cirka 30 minuter senare och ytterligare en tre tim</w:t>
      </w:r>
      <w:r w:rsidR="00E5524A" w:rsidRPr="007B0ED8">
        <w:rPr>
          <w:rFonts w:ascii="Times New Roman" w:hAnsi="Times New Roman" w:cs="Courier New"/>
          <w:sz w:val="24"/>
          <w:szCs w:val="24"/>
        </w:rPr>
        <w:t>m</w:t>
      </w:r>
      <w:r w:rsidRPr="007B0ED8">
        <w:rPr>
          <w:rFonts w:ascii="Times New Roman" w:hAnsi="Times New Roman" w:cs="Courier New"/>
          <w:sz w:val="24"/>
          <w:szCs w:val="24"/>
        </w:rPr>
        <w:t xml:space="preserve">ar därpå. De två sistnämnda </w:t>
      </w:r>
      <w:r w:rsidR="00E5524A" w:rsidRPr="007B0ED8">
        <w:rPr>
          <w:rFonts w:ascii="Times New Roman" w:hAnsi="Times New Roman" w:cs="Courier New"/>
          <w:sz w:val="24"/>
          <w:szCs w:val="24"/>
        </w:rPr>
        <w:t xml:space="preserve">bönerna </w:t>
      </w:r>
      <w:r w:rsidRPr="007B0ED8">
        <w:rPr>
          <w:rFonts w:ascii="Times New Roman" w:hAnsi="Times New Roman" w:cs="Courier New"/>
          <w:sz w:val="24"/>
          <w:szCs w:val="24"/>
        </w:rPr>
        <w:t>kan ha utgjort inledning och avslutning för de utvaldas rituella måltid.</w:t>
      </w:r>
      <w:r w:rsidR="00693C31" w:rsidRPr="007B0ED8">
        <w:rPr>
          <w:rStyle w:val="Fotnotsreferens"/>
          <w:rFonts w:ascii="Times New Roman" w:hAnsi="Times New Roman" w:cs="Courier New"/>
          <w:sz w:val="24"/>
          <w:szCs w:val="24"/>
        </w:rPr>
        <w:footnoteReference w:id="49"/>
      </w:r>
      <w:r w:rsidR="00DB29E1" w:rsidRPr="007B0ED8">
        <w:rPr>
          <w:rFonts w:ascii="Times New Roman" w:hAnsi="Times New Roman" w:cs="Courier New"/>
          <w:sz w:val="24"/>
          <w:szCs w:val="24"/>
        </w:rPr>
        <w:t xml:space="preserve"> </w:t>
      </w:r>
    </w:p>
    <w:p w:rsidR="006A3531" w:rsidRPr="007B0ED8" w:rsidRDefault="006A3531" w:rsidP="00550EA1">
      <w:pPr>
        <w:autoSpaceDE w:val="0"/>
        <w:autoSpaceDN w:val="0"/>
        <w:adjustRightInd w:val="0"/>
        <w:spacing w:after="0" w:line="240" w:lineRule="auto"/>
        <w:rPr>
          <w:rFonts w:ascii="Times New Roman" w:hAnsi="Times New Roman" w:cs="Courier New"/>
          <w:sz w:val="24"/>
          <w:szCs w:val="24"/>
        </w:rPr>
      </w:pPr>
    </w:p>
    <w:p w:rsidR="00DB29E1" w:rsidRPr="007B0ED8" w:rsidRDefault="00DB29E1"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D</w:t>
      </w:r>
      <w:r w:rsidR="00E5524A" w:rsidRPr="007B0ED8">
        <w:rPr>
          <w:rFonts w:ascii="Times New Roman" w:hAnsi="Times New Roman" w:cs="Courier New"/>
          <w:sz w:val="24"/>
          <w:szCs w:val="24"/>
        </w:rPr>
        <w:t>å måste vi fråga o</w:t>
      </w:r>
      <w:r w:rsidR="00CD2E84" w:rsidRPr="007B0ED8">
        <w:rPr>
          <w:rFonts w:ascii="Times New Roman" w:hAnsi="Times New Roman" w:cs="Courier New"/>
          <w:sz w:val="24"/>
          <w:szCs w:val="24"/>
        </w:rPr>
        <w:t>ss var hörarna förrättade sin kvällsbön</w:t>
      </w:r>
      <w:r w:rsidR="00E5524A" w:rsidRPr="007B0ED8">
        <w:rPr>
          <w:rFonts w:ascii="Times New Roman" w:hAnsi="Times New Roman" w:cs="Courier New"/>
          <w:sz w:val="24"/>
          <w:szCs w:val="24"/>
        </w:rPr>
        <w:t xml:space="preserve">? Det kan ha varit i samband med att de överlämnade maten till de utvalda. Det förutsätter emellertid att denna bön endast förrättades av de hörare som lätt kunde ta sig till de utvalda som ofta levde i kommuniteter. </w:t>
      </w:r>
      <w:r w:rsidR="00A23046" w:rsidRPr="007B0ED8">
        <w:rPr>
          <w:rFonts w:ascii="Times New Roman" w:hAnsi="Times New Roman" w:cs="Courier New"/>
          <w:sz w:val="24"/>
          <w:szCs w:val="24"/>
        </w:rPr>
        <w:t>Enligt mig är detta mindre sannolikt, åtminstone är det rimligt att anta att kvällsmålet för hörarna också inbegreps i deras kvällsritual.</w:t>
      </w:r>
      <w:r w:rsidR="007C5245" w:rsidRPr="007B0ED8">
        <w:rPr>
          <w:rFonts w:ascii="Times New Roman" w:hAnsi="Times New Roman" w:cs="Courier New"/>
          <w:sz w:val="24"/>
          <w:szCs w:val="24"/>
        </w:rPr>
        <w:t xml:space="preserve"> I så fall har vi en bild där mat distribueras till de utvalda, antin</w:t>
      </w:r>
      <w:r w:rsidR="006B1F2C" w:rsidRPr="007B0ED8">
        <w:rPr>
          <w:rFonts w:ascii="Times New Roman" w:hAnsi="Times New Roman" w:cs="Courier New"/>
          <w:sz w:val="24"/>
          <w:szCs w:val="24"/>
        </w:rPr>
        <w:t>g</w:t>
      </w:r>
      <w:r w:rsidR="007C5245" w:rsidRPr="007B0ED8">
        <w:rPr>
          <w:rFonts w:ascii="Times New Roman" w:hAnsi="Times New Roman" w:cs="Courier New"/>
          <w:sz w:val="24"/>
          <w:szCs w:val="24"/>
        </w:rPr>
        <w:t xml:space="preserve">en av hörarna kollektivt, eller genom representanter. </w:t>
      </w:r>
      <w:r w:rsidR="006B1F2C" w:rsidRPr="007B0ED8">
        <w:rPr>
          <w:rFonts w:ascii="Times New Roman" w:hAnsi="Times New Roman" w:cs="Courier New"/>
          <w:sz w:val="24"/>
          <w:szCs w:val="24"/>
        </w:rPr>
        <w:t xml:space="preserve">Förlåtelsen för det våld som hörarna vållat den ljusa materien förmedlas av de utvalda. </w:t>
      </w:r>
      <w:r w:rsidR="007C5245" w:rsidRPr="007B0ED8">
        <w:rPr>
          <w:rFonts w:ascii="Times New Roman" w:hAnsi="Times New Roman" w:cs="Courier New"/>
          <w:sz w:val="24"/>
          <w:szCs w:val="24"/>
        </w:rPr>
        <w:t>Sedan vidtar måltiden som för de utvaldas del inramas av ytterligare prostration och troligtvis psalmsång.</w:t>
      </w:r>
      <w:r w:rsidR="00196A0C" w:rsidRPr="007B0ED8">
        <w:rPr>
          <w:rFonts w:ascii="Times New Roman" w:hAnsi="Times New Roman" w:cs="Courier New"/>
          <w:sz w:val="24"/>
          <w:szCs w:val="24"/>
        </w:rPr>
        <w:t xml:space="preserve"> Det jag här vill </w:t>
      </w:r>
      <w:r w:rsidR="00235115" w:rsidRPr="007B0ED8">
        <w:rPr>
          <w:rFonts w:ascii="Times New Roman" w:hAnsi="Times New Roman" w:cs="Courier New"/>
          <w:sz w:val="24"/>
          <w:szCs w:val="24"/>
        </w:rPr>
        <w:t xml:space="preserve">understryka </w:t>
      </w:r>
      <w:r w:rsidR="00196A0C" w:rsidRPr="007B0ED8">
        <w:rPr>
          <w:rFonts w:ascii="Times New Roman" w:hAnsi="Times New Roman" w:cs="Courier New"/>
          <w:sz w:val="24"/>
          <w:szCs w:val="24"/>
        </w:rPr>
        <w:t>är att det enligt den ovan angivna analysen som inte är min egen, (se noterna) stödjer hypotesen a</w:t>
      </w:r>
      <w:r w:rsidR="004F74C3" w:rsidRPr="007B0ED8">
        <w:rPr>
          <w:rFonts w:ascii="Times New Roman" w:hAnsi="Times New Roman" w:cs="Courier New"/>
          <w:sz w:val="24"/>
          <w:szCs w:val="24"/>
        </w:rPr>
        <w:t>t</w:t>
      </w:r>
      <w:r w:rsidR="00196A0C" w:rsidRPr="007B0ED8">
        <w:rPr>
          <w:rFonts w:ascii="Times New Roman" w:hAnsi="Times New Roman" w:cs="Courier New"/>
          <w:sz w:val="24"/>
          <w:szCs w:val="24"/>
        </w:rPr>
        <w:t>t bordets högtid kan skönjas även då vi saknar direkt terminologi för de</w:t>
      </w:r>
      <w:r w:rsidR="004F74C3" w:rsidRPr="007B0ED8">
        <w:rPr>
          <w:rFonts w:ascii="Times New Roman" w:hAnsi="Times New Roman" w:cs="Courier New"/>
          <w:sz w:val="24"/>
          <w:szCs w:val="24"/>
        </w:rPr>
        <w:t>n</w:t>
      </w:r>
      <w:r w:rsidR="00196A0C" w:rsidRPr="007B0ED8">
        <w:rPr>
          <w:rFonts w:ascii="Times New Roman" w:hAnsi="Times New Roman" w:cs="Courier New"/>
          <w:sz w:val="24"/>
          <w:szCs w:val="24"/>
        </w:rPr>
        <w:t xml:space="preserve"> i det arabiska materialet. Det jag </w:t>
      </w:r>
      <w:r w:rsidR="00314BFD" w:rsidRPr="007B0ED8">
        <w:rPr>
          <w:rFonts w:ascii="Times New Roman" w:hAnsi="Times New Roman" w:cs="Courier New"/>
          <w:sz w:val="24"/>
          <w:szCs w:val="24"/>
        </w:rPr>
        <w:t xml:space="preserve">dessutom </w:t>
      </w:r>
      <w:r w:rsidR="004F74C3" w:rsidRPr="007B0ED8">
        <w:rPr>
          <w:rFonts w:ascii="Times New Roman" w:hAnsi="Times New Roman" w:cs="Courier New"/>
          <w:sz w:val="24"/>
          <w:szCs w:val="24"/>
        </w:rPr>
        <w:t>vill framhålla är att analysen också i generella termer talar om prostrationer som hörarna företar dagligen</w:t>
      </w:r>
      <w:r w:rsidR="00CD2E84" w:rsidRPr="007B0ED8">
        <w:rPr>
          <w:rFonts w:ascii="Times New Roman" w:hAnsi="Times New Roman" w:cs="Courier New"/>
          <w:sz w:val="24"/>
          <w:szCs w:val="24"/>
        </w:rPr>
        <w:t xml:space="preserve"> efter solnedgången</w:t>
      </w:r>
      <w:r w:rsidR="004F74C3" w:rsidRPr="007B0ED8">
        <w:rPr>
          <w:rFonts w:ascii="Times New Roman" w:hAnsi="Times New Roman" w:cs="Courier New"/>
          <w:sz w:val="24"/>
          <w:szCs w:val="24"/>
        </w:rPr>
        <w:t xml:space="preserve">. Då samtliga hörare knappast kan tänkas delta i frambärandet av mat till de utvalda, åtminstone inte vid samtliga tillfällen, </w:t>
      </w:r>
      <w:r w:rsidR="007F2C8B" w:rsidRPr="007B0ED8">
        <w:rPr>
          <w:rFonts w:ascii="Times New Roman" w:hAnsi="Times New Roman" w:cs="Courier New"/>
          <w:sz w:val="24"/>
          <w:szCs w:val="24"/>
        </w:rPr>
        <w:t xml:space="preserve">föreslår jag </w:t>
      </w:r>
      <w:r w:rsidR="004F74C3" w:rsidRPr="007B0ED8">
        <w:rPr>
          <w:rFonts w:ascii="Times New Roman" w:hAnsi="Times New Roman" w:cs="Courier New"/>
          <w:sz w:val="24"/>
          <w:szCs w:val="24"/>
        </w:rPr>
        <w:t xml:space="preserve">att det finns en till maten relaterad högtid som hörarna </w:t>
      </w:r>
      <w:r w:rsidR="00CD2E84" w:rsidRPr="007B0ED8">
        <w:rPr>
          <w:rFonts w:ascii="Times New Roman" w:hAnsi="Times New Roman" w:cs="Courier New"/>
          <w:sz w:val="24"/>
          <w:szCs w:val="24"/>
        </w:rPr>
        <w:t>dagligen kan fira på egen hand</w:t>
      </w:r>
      <w:r w:rsidR="004F74C3" w:rsidRPr="007B0ED8">
        <w:rPr>
          <w:rFonts w:ascii="Times New Roman" w:hAnsi="Times New Roman" w:cs="Courier New"/>
          <w:sz w:val="24"/>
          <w:szCs w:val="24"/>
        </w:rPr>
        <w:t xml:space="preserve">. Denna måltid hade inte samma funktion som de utvaldas, hörarna fungerade inte som destillatorer för den ljusa materien. Däremot är det enligt mig troligt att en måltid intogs i förvissning om att man genom de utvaldas utverkade förlåtelse nu kunde äta i glädje och frid. </w:t>
      </w:r>
      <w:r w:rsidR="002A3207" w:rsidRPr="007B0ED8">
        <w:rPr>
          <w:rFonts w:ascii="Times New Roman" w:hAnsi="Times New Roman" w:cs="Courier New"/>
          <w:sz w:val="24"/>
          <w:szCs w:val="24"/>
        </w:rPr>
        <w:t xml:space="preserve">Vi återkommer till anpassningsmöjligheten av ritualer i nästa avsnitt </w:t>
      </w:r>
      <w:r w:rsidRPr="007B0ED8">
        <w:rPr>
          <w:rFonts w:ascii="Times New Roman" w:hAnsi="Times New Roman" w:cs="Courier New"/>
          <w:sz w:val="24"/>
          <w:szCs w:val="24"/>
        </w:rPr>
        <w:t xml:space="preserve">där vi också har att brottas med terminologiska problem gällande ”bordet”. </w:t>
      </w:r>
    </w:p>
    <w:p w:rsidR="00196A0C" w:rsidRPr="007B0ED8" w:rsidRDefault="00196A0C" w:rsidP="00550EA1">
      <w:pPr>
        <w:autoSpaceDE w:val="0"/>
        <w:autoSpaceDN w:val="0"/>
        <w:adjustRightInd w:val="0"/>
        <w:spacing w:after="0" w:line="240" w:lineRule="auto"/>
        <w:rPr>
          <w:rFonts w:ascii="Times New Roman" w:hAnsi="Times New Roman" w:cs="Courier New"/>
          <w:sz w:val="24"/>
        </w:rPr>
      </w:pPr>
    </w:p>
    <w:p w:rsidR="004F74C3" w:rsidRPr="007B0ED8" w:rsidRDefault="002B20A1" w:rsidP="002B20A1">
      <w:pPr>
        <w:pStyle w:val="Rubrik3"/>
        <w:rPr>
          <w:rFonts w:ascii="Times New Roman" w:hAnsi="Times New Roman"/>
          <w:sz w:val="24"/>
        </w:rPr>
      </w:pPr>
      <w:r w:rsidRPr="007B0ED8">
        <w:rPr>
          <w:rFonts w:ascii="Times New Roman" w:hAnsi="Times New Roman"/>
          <w:sz w:val="24"/>
        </w:rPr>
        <w:t>Betydelsen av Agape i Kellisdokumenten</w:t>
      </w:r>
    </w:p>
    <w:p w:rsidR="00453A03" w:rsidRPr="007B0ED8" w:rsidRDefault="00EF41AB"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Det manikéiska materialet från Kellis </w:t>
      </w:r>
      <w:r w:rsidR="007D1444" w:rsidRPr="007B0ED8">
        <w:rPr>
          <w:rFonts w:ascii="Times New Roman" w:hAnsi="Times New Roman" w:cs="Courier New"/>
          <w:sz w:val="24"/>
          <w:szCs w:val="24"/>
        </w:rPr>
        <w:t xml:space="preserve">sträcker sig </w:t>
      </w:r>
      <w:r w:rsidR="0012226F" w:rsidRPr="007B0ED8">
        <w:rPr>
          <w:rFonts w:ascii="Times New Roman" w:hAnsi="Times New Roman" w:cs="Courier New"/>
          <w:sz w:val="24"/>
          <w:szCs w:val="24"/>
        </w:rPr>
        <w:t xml:space="preserve">med stor sannolikhet </w:t>
      </w:r>
      <w:r w:rsidR="002D5B4E" w:rsidRPr="007B0ED8">
        <w:rPr>
          <w:rFonts w:ascii="Times New Roman" w:hAnsi="Times New Roman" w:cs="Courier New"/>
          <w:sz w:val="24"/>
          <w:szCs w:val="24"/>
        </w:rPr>
        <w:t xml:space="preserve">från </w:t>
      </w:r>
      <w:r w:rsidR="0012226F" w:rsidRPr="007B0ED8">
        <w:rPr>
          <w:rFonts w:ascii="Times New Roman" w:hAnsi="Times New Roman" w:cs="Courier New"/>
          <w:sz w:val="24"/>
          <w:szCs w:val="24"/>
        </w:rPr>
        <w:t>slutet av 350-talet fram till år 389.</w:t>
      </w:r>
      <w:r w:rsidR="0012226F" w:rsidRPr="007B0ED8">
        <w:rPr>
          <w:rStyle w:val="Fotnotsreferens"/>
          <w:rFonts w:ascii="Times New Roman" w:hAnsi="Times New Roman" w:cs="Courier New"/>
          <w:sz w:val="24"/>
          <w:szCs w:val="24"/>
        </w:rPr>
        <w:footnoteReference w:id="50"/>
      </w:r>
      <w:r w:rsidR="0012226F" w:rsidRPr="007B0ED8">
        <w:rPr>
          <w:rFonts w:ascii="Times New Roman" w:hAnsi="Times New Roman" w:cs="Courier New"/>
          <w:sz w:val="24"/>
          <w:szCs w:val="24"/>
        </w:rPr>
        <w:t xml:space="preserve"> </w:t>
      </w:r>
      <w:r w:rsidR="00EE3B2F" w:rsidRPr="007B0ED8">
        <w:rPr>
          <w:rFonts w:ascii="Times New Roman" w:hAnsi="Times New Roman" w:cs="Courier New"/>
          <w:sz w:val="24"/>
          <w:szCs w:val="24"/>
        </w:rPr>
        <w:t xml:space="preserve">Vid </w:t>
      </w:r>
      <w:r w:rsidRPr="007B0ED8">
        <w:rPr>
          <w:rFonts w:ascii="Times New Roman" w:hAnsi="Times New Roman" w:cs="Courier New"/>
          <w:sz w:val="24"/>
          <w:szCs w:val="24"/>
        </w:rPr>
        <w:t xml:space="preserve">den tiden </w:t>
      </w:r>
      <w:r w:rsidR="002B20A1" w:rsidRPr="007B0ED8">
        <w:rPr>
          <w:rFonts w:ascii="Times New Roman" w:hAnsi="Times New Roman" w:cs="Courier New"/>
          <w:sz w:val="24"/>
          <w:szCs w:val="24"/>
        </w:rPr>
        <w:t>levde såväl kristna av mer eller mindre ortodox orientering, manikéer och de som for</w:t>
      </w:r>
      <w:r w:rsidR="00C1793B" w:rsidRPr="007B0ED8">
        <w:rPr>
          <w:rFonts w:ascii="Times New Roman" w:hAnsi="Times New Roman" w:cs="Courier New"/>
          <w:sz w:val="24"/>
          <w:szCs w:val="24"/>
        </w:rPr>
        <w:t>t</w:t>
      </w:r>
      <w:r w:rsidR="002B20A1" w:rsidRPr="007B0ED8">
        <w:rPr>
          <w:rFonts w:ascii="Times New Roman" w:hAnsi="Times New Roman" w:cs="Courier New"/>
          <w:sz w:val="24"/>
          <w:szCs w:val="24"/>
        </w:rPr>
        <w:t>farande höll sig till traditionell egyptisk religion</w:t>
      </w:r>
      <w:r w:rsidR="00651FB6" w:rsidRPr="007B0ED8">
        <w:rPr>
          <w:rFonts w:ascii="Times New Roman" w:hAnsi="Times New Roman" w:cs="Courier New"/>
          <w:sz w:val="24"/>
          <w:szCs w:val="24"/>
        </w:rPr>
        <w:t xml:space="preserve"> i Kellis</w:t>
      </w:r>
      <w:r w:rsidR="002B20A1" w:rsidRPr="007B0ED8">
        <w:rPr>
          <w:rFonts w:ascii="Times New Roman" w:hAnsi="Times New Roman" w:cs="Courier New"/>
          <w:sz w:val="24"/>
          <w:szCs w:val="24"/>
        </w:rPr>
        <w:t>.</w:t>
      </w:r>
      <w:r w:rsidR="002B20A1" w:rsidRPr="007B0ED8">
        <w:rPr>
          <w:rStyle w:val="Fotnotsreferens"/>
          <w:rFonts w:ascii="Times New Roman" w:hAnsi="Times New Roman" w:cs="Courier New"/>
          <w:sz w:val="24"/>
          <w:szCs w:val="24"/>
        </w:rPr>
        <w:footnoteReference w:id="51"/>
      </w:r>
      <w:r w:rsidR="00651FB6" w:rsidRPr="007B0ED8">
        <w:rPr>
          <w:rFonts w:ascii="Times New Roman" w:hAnsi="Times New Roman" w:cs="Courier New"/>
          <w:sz w:val="24"/>
          <w:szCs w:val="24"/>
        </w:rPr>
        <w:t xml:space="preserve"> </w:t>
      </w:r>
      <w:r w:rsidR="00EE3B2F" w:rsidRPr="007B0ED8">
        <w:rPr>
          <w:rFonts w:ascii="Times New Roman" w:hAnsi="Times New Roman" w:cs="Courier New"/>
          <w:sz w:val="24"/>
          <w:szCs w:val="24"/>
        </w:rPr>
        <w:t xml:space="preserve">Utgrävningarna har avtäckt </w:t>
      </w:r>
      <w:r w:rsidR="007F4271" w:rsidRPr="007B0ED8">
        <w:rPr>
          <w:rFonts w:ascii="Times New Roman" w:hAnsi="Times New Roman" w:cs="Courier New"/>
          <w:sz w:val="24"/>
          <w:szCs w:val="24"/>
        </w:rPr>
        <w:t xml:space="preserve">en mindre kyrka som verkar ha tillhört manikéerna, en kristen dito samt ett tempel som fram till mitten av 300-talet </w:t>
      </w:r>
      <w:r w:rsidR="00EE3B2F" w:rsidRPr="007B0ED8">
        <w:rPr>
          <w:rFonts w:ascii="Times New Roman" w:hAnsi="Times New Roman" w:cs="Courier New"/>
          <w:sz w:val="24"/>
          <w:szCs w:val="24"/>
        </w:rPr>
        <w:t xml:space="preserve">brukades för </w:t>
      </w:r>
      <w:r w:rsidR="007F4271" w:rsidRPr="007B0ED8">
        <w:rPr>
          <w:rFonts w:ascii="Times New Roman" w:hAnsi="Times New Roman" w:cs="Courier New"/>
          <w:sz w:val="24"/>
          <w:szCs w:val="24"/>
        </w:rPr>
        <w:t xml:space="preserve">traditionell egyptisk religion. </w:t>
      </w:r>
      <w:r w:rsidR="00F171E7" w:rsidRPr="007B0ED8">
        <w:rPr>
          <w:rFonts w:ascii="Times New Roman" w:hAnsi="Times New Roman" w:cs="Courier New"/>
          <w:sz w:val="24"/>
          <w:szCs w:val="24"/>
        </w:rPr>
        <w:t xml:space="preserve">Visserligen verkar </w:t>
      </w:r>
      <w:r w:rsidR="007F4271" w:rsidRPr="007B0ED8">
        <w:rPr>
          <w:rFonts w:ascii="Times New Roman" w:hAnsi="Times New Roman" w:cs="Courier New"/>
          <w:sz w:val="24"/>
          <w:szCs w:val="24"/>
        </w:rPr>
        <w:t xml:space="preserve">templet </w:t>
      </w:r>
      <w:r w:rsidR="00F171E7" w:rsidRPr="007B0ED8">
        <w:rPr>
          <w:rFonts w:ascii="Times New Roman" w:hAnsi="Times New Roman" w:cs="Courier New"/>
          <w:sz w:val="24"/>
          <w:szCs w:val="24"/>
        </w:rPr>
        <w:t xml:space="preserve">sedan </w:t>
      </w:r>
      <w:r w:rsidR="007F4271" w:rsidRPr="007B0ED8">
        <w:rPr>
          <w:rFonts w:ascii="Times New Roman" w:hAnsi="Times New Roman" w:cs="Courier New"/>
          <w:sz w:val="24"/>
          <w:szCs w:val="24"/>
        </w:rPr>
        <w:t>ha använts för</w:t>
      </w:r>
      <w:r w:rsidR="00F171E7" w:rsidRPr="007B0ED8">
        <w:rPr>
          <w:rFonts w:ascii="Times New Roman" w:hAnsi="Times New Roman" w:cs="Courier New"/>
          <w:sz w:val="24"/>
          <w:szCs w:val="24"/>
        </w:rPr>
        <w:t xml:space="preserve"> </w:t>
      </w:r>
      <w:proofErr w:type="spellStart"/>
      <w:r w:rsidR="007F4271" w:rsidRPr="007B0ED8">
        <w:rPr>
          <w:rFonts w:ascii="Times New Roman" w:hAnsi="Times New Roman" w:cs="Courier New"/>
          <w:sz w:val="24"/>
          <w:szCs w:val="24"/>
        </w:rPr>
        <w:t>ickesakrala</w:t>
      </w:r>
      <w:proofErr w:type="spellEnd"/>
      <w:r w:rsidR="007F4271" w:rsidRPr="007B0ED8">
        <w:rPr>
          <w:rFonts w:ascii="Times New Roman" w:hAnsi="Times New Roman" w:cs="Courier New"/>
          <w:sz w:val="24"/>
          <w:szCs w:val="24"/>
        </w:rPr>
        <w:t xml:space="preserve"> ändamål, men det är rimligt att anta att de</w:t>
      </w:r>
      <w:r w:rsidR="004F399C" w:rsidRPr="007B0ED8">
        <w:rPr>
          <w:rFonts w:ascii="Times New Roman" w:hAnsi="Times New Roman" w:cs="Courier New"/>
          <w:sz w:val="24"/>
          <w:szCs w:val="24"/>
        </w:rPr>
        <w:t xml:space="preserve">t </w:t>
      </w:r>
      <w:r w:rsidR="00F171E7" w:rsidRPr="007B0ED8">
        <w:rPr>
          <w:rFonts w:ascii="Times New Roman" w:hAnsi="Times New Roman" w:cs="Courier New"/>
          <w:sz w:val="24"/>
          <w:szCs w:val="24"/>
        </w:rPr>
        <w:t xml:space="preserve">även </w:t>
      </w:r>
      <w:r w:rsidR="004F399C" w:rsidRPr="007B0ED8">
        <w:rPr>
          <w:rFonts w:ascii="Times New Roman" w:hAnsi="Times New Roman" w:cs="Courier New"/>
          <w:sz w:val="24"/>
          <w:szCs w:val="24"/>
        </w:rPr>
        <w:t xml:space="preserve">under den period som </w:t>
      </w:r>
      <w:r w:rsidR="00F171E7" w:rsidRPr="007B0ED8">
        <w:rPr>
          <w:rFonts w:ascii="Times New Roman" w:hAnsi="Times New Roman" w:cs="Courier New"/>
          <w:sz w:val="24"/>
          <w:szCs w:val="24"/>
        </w:rPr>
        <w:t xml:space="preserve">intresserar oss fortfarande </w:t>
      </w:r>
      <w:r w:rsidR="004F399C" w:rsidRPr="007B0ED8">
        <w:rPr>
          <w:rFonts w:ascii="Times New Roman" w:hAnsi="Times New Roman" w:cs="Courier New"/>
          <w:sz w:val="24"/>
          <w:szCs w:val="24"/>
        </w:rPr>
        <w:t xml:space="preserve">fanns anhängare till den egyptiska religionen i </w:t>
      </w:r>
      <w:r w:rsidR="00F171E7" w:rsidRPr="007B0ED8">
        <w:rPr>
          <w:rFonts w:ascii="Times New Roman" w:hAnsi="Times New Roman" w:cs="Courier New"/>
          <w:sz w:val="24"/>
          <w:szCs w:val="24"/>
        </w:rPr>
        <w:t>Kellis</w:t>
      </w:r>
      <w:r w:rsidR="004F399C" w:rsidRPr="007B0ED8">
        <w:rPr>
          <w:rFonts w:ascii="Times New Roman" w:hAnsi="Times New Roman" w:cs="Courier New"/>
          <w:sz w:val="24"/>
          <w:szCs w:val="24"/>
        </w:rPr>
        <w:t>.</w:t>
      </w:r>
      <w:r w:rsidR="004F399C" w:rsidRPr="007B0ED8">
        <w:rPr>
          <w:rStyle w:val="Fotnotsreferens"/>
          <w:rFonts w:ascii="Times New Roman" w:hAnsi="Times New Roman" w:cs="Courier New"/>
          <w:sz w:val="24"/>
          <w:szCs w:val="24"/>
        </w:rPr>
        <w:footnoteReference w:id="52"/>
      </w:r>
      <w:r w:rsidR="004F399C" w:rsidRPr="007B0ED8">
        <w:rPr>
          <w:rFonts w:ascii="Times New Roman" w:hAnsi="Times New Roman" w:cs="Courier New"/>
          <w:sz w:val="24"/>
          <w:szCs w:val="24"/>
        </w:rPr>
        <w:t xml:space="preserve"> </w:t>
      </w:r>
      <w:r w:rsidR="00032A52" w:rsidRPr="007B0ED8">
        <w:rPr>
          <w:rFonts w:ascii="Times New Roman" w:hAnsi="Times New Roman" w:cs="Courier New"/>
          <w:sz w:val="24"/>
          <w:szCs w:val="24"/>
        </w:rPr>
        <w:t xml:space="preserve">Om man hade frågat en maniké från Kellis om hens religiösa identitet så hade svaret troligtvis blivit ”kristen”. Man menade att man tillhörde ”den heliga kyrkan” </w:t>
      </w:r>
      <w:proofErr w:type="spellStart"/>
      <w:r w:rsidR="00032A52" w:rsidRPr="007B0ED8">
        <w:rPr>
          <w:rFonts w:ascii="Times New Roman" w:hAnsi="Times New Roman" w:cs="Courier New"/>
          <w:i/>
          <w:sz w:val="24"/>
          <w:szCs w:val="24"/>
        </w:rPr>
        <w:t>tekklhsia</w:t>
      </w:r>
      <w:proofErr w:type="spellEnd"/>
      <w:r w:rsidR="00032A52" w:rsidRPr="007B0ED8">
        <w:rPr>
          <w:rFonts w:ascii="Times New Roman" w:hAnsi="Times New Roman" w:cs="Courier New"/>
          <w:i/>
          <w:sz w:val="24"/>
          <w:szCs w:val="24"/>
        </w:rPr>
        <w:t xml:space="preserve"> </w:t>
      </w:r>
      <w:proofErr w:type="spellStart"/>
      <w:r w:rsidR="00032A52" w:rsidRPr="007B0ED8">
        <w:rPr>
          <w:rFonts w:ascii="Times New Roman" w:hAnsi="Times New Roman" w:cs="Courier New"/>
          <w:i/>
          <w:sz w:val="24"/>
          <w:szCs w:val="24"/>
        </w:rPr>
        <w:t>etohhb</w:t>
      </w:r>
      <w:proofErr w:type="spellEnd"/>
      <w:r w:rsidR="00611874" w:rsidRPr="007B0ED8">
        <w:rPr>
          <w:rFonts w:ascii="Times New Roman" w:hAnsi="Times New Roman" w:cs="Courier New"/>
          <w:i/>
          <w:sz w:val="24"/>
          <w:szCs w:val="24"/>
        </w:rPr>
        <w:t xml:space="preserve"> som hade ett ansvar för sina mindre långt komna kristna fränder</w:t>
      </w:r>
      <w:r w:rsidR="00676884" w:rsidRPr="007B0ED8">
        <w:rPr>
          <w:rFonts w:ascii="Times New Roman" w:hAnsi="Times New Roman" w:cs="Courier New"/>
          <w:i/>
          <w:sz w:val="24"/>
          <w:szCs w:val="24"/>
        </w:rPr>
        <w:t xml:space="preserve"> som ännu inte tagit till sig Manis budskap</w:t>
      </w:r>
      <w:r w:rsidR="00032A52" w:rsidRPr="007B0ED8">
        <w:rPr>
          <w:rFonts w:ascii="Times New Roman" w:hAnsi="Times New Roman" w:cs="Courier New"/>
          <w:sz w:val="24"/>
          <w:szCs w:val="24"/>
        </w:rPr>
        <w:t>.</w:t>
      </w:r>
      <w:r w:rsidR="00032A52" w:rsidRPr="007B0ED8">
        <w:rPr>
          <w:rStyle w:val="Fotnotsreferens"/>
          <w:rFonts w:ascii="Times New Roman" w:hAnsi="Times New Roman" w:cs="Courier New"/>
          <w:sz w:val="24"/>
          <w:szCs w:val="24"/>
        </w:rPr>
        <w:footnoteReference w:id="53"/>
      </w:r>
      <w:r w:rsidR="00032A52" w:rsidRPr="007B0ED8">
        <w:rPr>
          <w:rFonts w:ascii="Times New Roman" w:hAnsi="Times New Roman" w:cs="Courier New"/>
          <w:sz w:val="24"/>
          <w:szCs w:val="24"/>
        </w:rPr>
        <w:t xml:space="preserve"> </w:t>
      </w:r>
      <w:r w:rsidR="004938FD" w:rsidRPr="007B0ED8">
        <w:rPr>
          <w:rFonts w:ascii="Times New Roman" w:hAnsi="Times New Roman" w:cs="Courier New"/>
          <w:sz w:val="24"/>
          <w:szCs w:val="24"/>
        </w:rPr>
        <w:t>Det är ofta mycket svårt att se vilka texter som skrivits av manikéer</w:t>
      </w:r>
      <w:r w:rsidR="00AB09C0" w:rsidRPr="007B0ED8">
        <w:rPr>
          <w:rFonts w:ascii="Times New Roman" w:hAnsi="Times New Roman" w:cs="Courier New"/>
          <w:sz w:val="24"/>
          <w:szCs w:val="24"/>
        </w:rPr>
        <w:t>.  M</w:t>
      </w:r>
      <w:r w:rsidR="004938FD" w:rsidRPr="007B0ED8">
        <w:rPr>
          <w:rFonts w:ascii="Times New Roman" w:hAnsi="Times New Roman" w:cs="Courier New"/>
          <w:sz w:val="24"/>
          <w:szCs w:val="24"/>
        </w:rPr>
        <w:t xml:space="preserve">en formuleringar som </w:t>
      </w:r>
      <w:proofErr w:type="spellStart"/>
      <w:r w:rsidR="00AB09C0" w:rsidRPr="007B0ED8">
        <w:rPr>
          <w:rFonts w:ascii="Times New Roman" w:hAnsi="Times New Roman" w:cs="Courier New"/>
          <w:sz w:val="24"/>
          <w:szCs w:val="24"/>
        </w:rPr>
        <w:t>katekuméner</w:t>
      </w:r>
      <w:proofErr w:type="spellEnd"/>
      <w:r w:rsidR="00AB09C0" w:rsidRPr="007B0ED8">
        <w:rPr>
          <w:rFonts w:ascii="Times New Roman" w:hAnsi="Times New Roman" w:cs="Courier New"/>
          <w:sz w:val="24"/>
          <w:szCs w:val="24"/>
        </w:rPr>
        <w:t>/</w:t>
      </w:r>
      <w:r w:rsidR="004938FD" w:rsidRPr="007B0ED8">
        <w:rPr>
          <w:rFonts w:ascii="Times New Roman" w:hAnsi="Times New Roman" w:cs="Courier New"/>
          <w:sz w:val="24"/>
          <w:szCs w:val="24"/>
        </w:rPr>
        <w:t>hörare respektive bröderna</w:t>
      </w:r>
      <w:r w:rsidR="00AB09C0" w:rsidRPr="007B0ED8">
        <w:rPr>
          <w:rFonts w:ascii="Times New Roman" w:hAnsi="Times New Roman" w:cs="Courier New"/>
          <w:sz w:val="24"/>
          <w:szCs w:val="24"/>
        </w:rPr>
        <w:t xml:space="preserve"> och </w:t>
      </w:r>
      <w:r w:rsidR="004938FD" w:rsidRPr="007B0ED8">
        <w:rPr>
          <w:rFonts w:ascii="Times New Roman" w:hAnsi="Times New Roman" w:cs="Courier New"/>
          <w:sz w:val="24"/>
          <w:szCs w:val="24"/>
        </w:rPr>
        <w:lastRenderedPageBreak/>
        <w:t>”de som skänker vila”</w:t>
      </w:r>
      <w:r w:rsidR="00AB09C0" w:rsidRPr="007B0ED8">
        <w:rPr>
          <w:rFonts w:ascii="Times New Roman" w:hAnsi="Times New Roman" w:cs="Courier New"/>
          <w:sz w:val="24"/>
          <w:szCs w:val="24"/>
        </w:rPr>
        <w:t xml:space="preserve"> har en </w:t>
      </w:r>
      <w:proofErr w:type="spellStart"/>
      <w:r w:rsidR="00AB09C0" w:rsidRPr="007B0ED8">
        <w:rPr>
          <w:rFonts w:ascii="Times New Roman" w:hAnsi="Times New Roman" w:cs="Courier New"/>
          <w:sz w:val="24"/>
          <w:szCs w:val="24"/>
        </w:rPr>
        <w:t>manikéisk</w:t>
      </w:r>
      <w:proofErr w:type="spellEnd"/>
      <w:r w:rsidR="00AB09C0" w:rsidRPr="007B0ED8">
        <w:rPr>
          <w:rFonts w:ascii="Times New Roman" w:hAnsi="Times New Roman" w:cs="Courier New"/>
          <w:sz w:val="24"/>
          <w:szCs w:val="24"/>
        </w:rPr>
        <w:t xml:space="preserve"> ton</w:t>
      </w:r>
      <w:r w:rsidR="004938FD" w:rsidRPr="007B0ED8">
        <w:rPr>
          <w:rFonts w:ascii="Times New Roman" w:hAnsi="Times New Roman" w:cs="Courier New"/>
          <w:sz w:val="24"/>
          <w:szCs w:val="24"/>
        </w:rPr>
        <w:t>.</w:t>
      </w:r>
      <w:r w:rsidR="004938FD" w:rsidRPr="007B0ED8">
        <w:rPr>
          <w:rStyle w:val="Fotnotsreferens"/>
          <w:rFonts w:ascii="Times New Roman" w:hAnsi="Times New Roman" w:cs="Courier New"/>
          <w:sz w:val="24"/>
          <w:szCs w:val="24"/>
        </w:rPr>
        <w:footnoteReference w:id="54"/>
      </w:r>
      <w:r w:rsidR="004938FD" w:rsidRPr="007B0ED8">
        <w:rPr>
          <w:rFonts w:ascii="Times New Roman" w:hAnsi="Times New Roman" w:cs="Courier New"/>
          <w:sz w:val="24"/>
          <w:szCs w:val="24"/>
        </w:rPr>
        <w:t xml:space="preserve"> </w:t>
      </w:r>
      <w:r w:rsidR="00AB09C0" w:rsidRPr="007B0ED8">
        <w:rPr>
          <w:rFonts w:ascii="Times New Roman" w:hAnsi="Times New Roman" w:cs="Courier New"/>
          <w:sz w:val="24"/>
          <w:szCs w:val="24"/>
        </w:rPr>
        <w:t xml:space="preserve">Andra intressanta formuleringar är de om </w:t>
      </w:r>
      <w:proofErr w:type="spellStart"/>
      <w:r w:rsidR="00AB09C0" w:rsidRPr="007B0ED8">
        <w:rPr>
          <w:rFonts w:ascii="Times New Roman" w:hAnsi="Times New Roman" w:cs="Courier New"/>
          <w:sz w:val="24"/>
          <w:szCs w:val="24"/>
        </w:rPr>
        <w:t>P</w:t>
      </w:r>
      <w:r w:rsidR="00AB09C0" w:rsidRPr="007B0ED8">
        <w:rPr>
          <w:rFonts w:ascii="Times New Roman" w:hAnsi="Times New Roman" w:cs="Courier New"/>
          <w:i/>
          <w:sz w:val="24"/>
          <w:szCs w:val="24"/>
        </w:rPr>
        <w:t>arekleten</w:t>
      </w:r>
      <w:proofErr w:type="spellEnd"/>
      <w:r w:rsidR="00AB09C0" w:rsidRPr="007B0ED8">
        <w:rPr>
          <w:rFonts w:ascii="Times New Roman" w:hAnsi="Times New Roman" w:cs="Courier New"/>
          <w:i/>
          <w:sz w:val="24"/>
          <w:szCs w:val="24"/>
        </w:rPr>
        <w:t xml:space="preserve"> </w:t>
      </w:r>
      <w:r w:rsidR="00AB09C0" w:rsidRPr="007B0ED8">
        <w:rPr>
          <w:rFonts w:ascii="Times New Roman" w:hAnsi="Times New Roman" w:cs="Courier New"/>
          <w:sz w:val="24"/>
          <w:szCs w:val="24"/>
        </w:rPr>
        <w:t xml:space="preserve">i Kell. </w:t>
      </w:r>
      <w:proofErr w:type="spellStart"/>
      <w:r w:rsidR="00AB09C0" w:rsidRPr="007B0ED8">
        <w:rPr>
          <w:rFonts w:ascii="Times New Roman" w:hAnsi="Times New Roman" w:cs="Courier New"/>
          <w:sz w:val="24"/>
          <w:szCs w:val="24"/>
        </w:rPr>
        <w:t>Copt</w:t>
      </w:r>
      <w:proofErr w:type="spellEnd"/>
      <w:r w:rsidR="00AB09C0" w:rsidRPr="007B0ED8">
        <w:rPr>
          <w:rFonts w:ascii="Times New Roman" w:hAnsi="Times New Roman" w:cs="Courier New"/>
          <w:sz w:val="24"/>
          <w:szCs w:val="24"/>
        </w:rPr>
        <w:t xml:space="preserve">. 19 som uppenbarligen syftar på Mani själv. </w:t>
      </w:r>
      <w:r w:rsidR="009806CF" w:rsidRPr="007B0ED8">
        <w:rPr>
          <w:rFonts w:ascii="Times New Roman" w:hAnsi="Times New Roman" w:cs="Courier New"/>
          <w:sz w:val="24"/>
          <w:szCs w:val="24"/>
        </w:rPr>
        <w:t xml:space="preserve">Därtill har vi en hel del tydligt manikeisk litteratur i anslutning till det dokumentära </w:t>
      </w:r>
      <w:r w:rsidR="00453A03" w:rsidRPr="007B0ED8">
        <w:rPr>
          <w:rFonts w:ascii="Times New Roman" w:hAnsi="Times New Roman" w:cs="Courier New"/>
          <w:sz w:val="24"/>
          <w:szCs w:val="24"/>
        </w:rPr>
        <w:t xml:space="preserve">koptiska </w:t>
      </w:r>
      <w:r w:rsidR="009806CF" w:rsidRPr="007B0ED8">
        <w:rPr>
          <w:rFonts w:ascii="Times New Roman" w:hAnsi="Times New Roman" w:cs="Courier New"/>
          <w:sz w:val="24"/>
          <w:szCs w:val="24"/>
        </w:rPr>
        <w:t>material som vi tar upp här.</w:t>
      </w:r>
      <w:r w:rsidR="009806CF" w:rsidRPr="007B0ED8">
        <w:rPr>
          <w:rStyle w:val="Fotnotsreferens"/>
          <w:rFonts w:ascii="Times New Roman" w:hAnsi="Times New Roman" w:cs="Courier New"/>
          <w:sz w:val="24"/>
          <w:szCs w:val="24"/>
        </w:rPr>
        <w:footnoteReference w:id="55"/>
      </w:r>
      <w:r w:rsidR="009806CF" w:rsidRPr="007B0ED8">
        <w:rPr>
          <w:rFonts w:ascii="Times New Roman" w:hAnsi="Times New Roman" w:cs="Courier New"/>
          <w:sz w:val="24"/>
          <w:szCs w:val="24"/>
        </w:rPr>
        <w:t xml:space="preserve"> </w:t>
      </w:r>
    </w:p>
    <w:p w:rsidR="00453A03" w:rsidRPr="007B0ED8" w:rsidRDefault="00453A03" w:rsidP="00550EA1">
      <w:pPr>
        <w:autoSpaceDE w:val="0"/>
        <w:autoSpaceDN w:val="0"/>
        <w:adjustRightInd w:val="0"/>
        <w:spacing w:after="0" w:line="240" w:lineRule="auto"/>
        <w:rPr>
          <w:rFonts w:ascii="Times New Roman" w:hAnsi="Times New Roman" w:cs="Courier New"/>
          <w:sz w:val="24"/>
          <w:szCs w:val="24"/>
        </w:rPr>
      </w:pPr>
    </w:p>
    <w:p w:rsidR="00EE3B2F" w:rsidRPr="007B0ED8" w:rsidRDefault="004938FD"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Merparten av </w:t>
      </w:r>
      <w:r w:rsidR="00EE3B2F" w:rsidRPr="007B0ED8">
        <w:rPr>
          <w:rFonts w:ascii="Times New Roman" w:hAnsi="Times New Roman" w:cs="Courier New"/>
          <w:sz w:val="24"/>
          <w:szCs w:val="24"/>
        </w:rPr>
        <w:t xml:space="preserve">de </w:t>
      </w:r>
      <w:r w:rsidRPr="007B0ED8">
        <w:rPr>
          <w:rFonts w:ascii="Times New Roman" w:hAnsi="Times New Roman" w:cs="Courier New"/>
          <w:sz w:val="24"/>
          <w:szCs w:val="24"/>
        </w:rPr>
        <w:t>brev som vi har är skrivna av hörare, men det är troligt att vi även har sådana som författats av utvalda.</w:t>
      </w:r>
    </w:p>
    <w:p w:rsidR="00E749D2" w:rsidRPr="007B0ED8" w:rsidRDefault="00E543B6"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Här är d</w:t>
      </w:r>
      <w:r w:rsidR="00D277C4" w:rsidRPr="007B0ED8">
        <w:rPr>
          <w:rFonts w:ascii="Times New Roman" w:hAnsi="Times New Roman" w:cs="Courier New"/>
          <w:sz w:val="24"/>
          <w:szCs w:val="24"/>
        </w:rPr>
        <w:t xml:space="preserve">e brev som knyts till Makarios familj </w:t>
      </w:r>
      <w:r w:rsidR="006E7529" w:rsidRPr="007B0ED8">
        <w:rPr>
          <w:rFonts w:ascii="Times New Roman" w:hAnsi="Times New Roman" w:cs="Courier New"/>
          <w:sz w:val="24"/>
          <w:szCs w:val="24"/>
        </w:rPr>
        <w:t>s</w:t>
      </w:r>
      <w:r w:rsidR="005913E9" w:rsidRPr="007B0ED8">
        <w:rPr>
          <w:rFonts w:ascii="Times New Roman" w:hAnsi="Times New Roman" w:cs="Courier New"/>
          <w:sz w:val="24"/>
          <w:szCs w:val="24"/>
        </w:rPr>
        <w:t>ärskilt intressanta.</w:t>
      </w:r>
      <w:r w:rsidR="005913E9" w:rsidRPr="007B0ED8">
        <w:rPr>
          <w:rStyle w:val="Fotnotsreferens"/>
          <w:rFonts w:ascii="Times New Roman" w:hAnsi="Times New Roman" w:cs="Courier New"/>
          <w:sz w:val="24"/>
          <w:szCs w:val="24"/>
        </w:rPr>
        <w:footnoteReference w:id="56"/>
      </w:r>
      <w:r w:rsidR="00D277C4" w:rsidRPr="007B0ED8">
        <w:rPr>
          <w:rFonts w:ascii="Times New Roman" w:hAnsi="Times New Roman" w:cs="Courier New"/>
          <w:sz w:val="24"/>
          <w:szCs w:val="24"/>
        </w:rPr>
        <w:t xml:space="preserve"> </w:t>
      </w:r>
      <w:r w:rsidR="007654CE" w:rsidRPr="007B0ED8">
        <w:rPr>
          <w:rFonts w:ascii="Times New Roman" w:hAnsi="Times New Roman" w:cs="Courier New"/>
          <w:sz w:val="24"/>
          <w:szCs w:val="24"/>
        </w:rPr>
        <w:t xml:space="preserve">Samtliga </w:t>
      </w:r>
      <w:r w:rsidR="00DB3961" w:rsidRPr="007B0ED8">
        <w:rPr>
          <w:rFonts w:ascii="Times New Roman" w:hAnsi="Times New Roman" w:cs="Courier New"/>
          <w:sz w:val="24"/>
          <w:szCs w:val="24"/>
        </w:rPr>
        <w:t>ve</w:t>
      </w:r>
      <w:r w:rsidR="007654CE" w:rsidRPr="007B0ED8">
        <w:rPr>
          <w:rFonts w:ascii="Times New Roman" w:hAnsi="Times New Roman" w:cs="Courier New"/>
          <w:sz w:val="24"/>
          <w:szCs w:val="24"/>
        </w:rPr>
        <w:t xml:space="preserve">rkar ha författats i Nildalen. Exempelvis skrivs Kell. </w:t>
      </w:r>
      <w:proofErr w:type="spellStart"/>
      <w:r w:rsidR="007654CE" w:rsidRPr="007B0ED8">
        <w:rPr>
          <w:rFonts w:ascii="Times New Roman" w:hAnsi="Times New Roman" w:cs="Courier New"/>
          <w:sz w:val="24"/>
          <w:szCs w:val="24"/>
        </w:rPr>
        <w:t>Copt</w:t>
      </w:r>
      <w:proofErr w:type="spellEnd"/>
      <w:r w:rsidR="007654CE" w:rsidRPr="007B0ED8">
        <w:rPr>
          <w:rFonts w:ascii="Times New Roman" w:hAnsi="Times New Roman" w:cs="Courier New"/>
          <w:sz w:val="24"/>
          <w:szCs w:val="24"/>
        </w:rPr>
        <w:t xml:space="preserve">. 26 från </w:t>
      </w:r>
      <w:proofErr w:type="spellStart"/>
      <w:r w:rsidR="007654CE" w:rsidRPr="007B0ED8">
        <w:rPr>
          <w:rFonts w:ascii="Times New Roman" w:hAnsi="Times New Roman" w:cs="Courier New"/>
          <w:sz w:val="24"/>
          <w:szCs w:val="24"/>
        </w:rPr>
        <w:t>Hermopolis</w:t>
      </w:r>
      <w:proofErr w:type="spellEnd"/>
      <w:r w:rsidR="007654CE" w:rsidRPr="007B0ED8">
        <w:rPr>
          <w:rFonts w:ascii="Times New Roman" w:hAnsi="Times New Roman" w:cs="Courier New"/>
          <w:sz w:val="24"/>
          <w:szCs w:val="24"/>
        </w:rPr>
        <w:t xml:space="preserve"> där Makarios och hans äldste son Mathaios </w:t>
      </w:r>
      <w:r w:rsidR="007D0109" w:rsidRPr="007B0ED8">
        <w:rPr>
          <w:rFonts w:ascii="Times New Roman" w:hAnsi="Times New Roman" w:cs="Courier New"/>
          <w:sz w:val="24"/>
          <w:szCs w:val="24"/>
        </w:rPr>
        <w:t xml:space="preserve">är </w:t>
      </w:r>
      <w:r w:rsidR="007654CE" w:rsidRPr="007B0ED8">
        <w:rPr>
          <w:rFonts w:ascii="Times New Roman" w:hAnsi="Times New Roman" w:cs="Courier New"/>
          <w:sz w:val="24"/>
          <w:szCs w:val="24"/>
        </w:rPr>
        <w:t xml:space="preserve">bosatta </w:t>
      </w:r>
      <w:r w:rsidR="00DB3961" w:rsidRPr="007B0ED8">
        <w:rPr>
          <w:rFonts w:ascii="Times New Roman" w:hAnsi="Times New Roman" w:cs="Courier New"/>
          <w:sz w:val="24"/>
          <w:szCs w:val="24"/>
        </w:rPr>
        <w:t xml:space="preserve">och </w:t>
      </w:r>
      <w:r w:rsidR="007654CE" w:rsidRPr="007B0ED8">
        <w:rPr>
          <w:rFonts w:ascii="Times New Roman" w:hAnsi="Times New Roman" w:cs="Courier New"/>
          <w:sz w:val="24"/>
          <w:szCs w:val="24"/>
        </w:rPr>
        <w:t xml:space="preserve">Kell. </w:t>
      </w:r>
      <w:proofErr w:type="spellStart"/>
      <w:r w:rsidR="007654CE" w:rsidRPr="007B0ED8">
        <w:rPr>
          <w:rFonts w:ascii="Times New Roman" w:hAnsi="Times New Roman" w:cs="Courier New"/>
          <w:sz w:val="24"/>
          <w:szCs w:val="24"/>
        </w:rPr>
        <w:t>Copt</w:t>
      </w:r>
      <w:proofErr w:type="spellEnd"/>
      <w:r w:rsidR="007654CE" w:rsidRPr="007B0ED8">
        <w:rPr>
          <w:rFonts w:ascii="Times New Roman" w:hAnsi="Times New Roman" w:cs="Courier New"/>
          <w:sz w:val="24"/>
          <w:szCs w:val="24"/>
        </w:rPr>
        <w:t xml:space="preserve">. 25 </w:t>
      </w:r>
      <w:r w:rsidR="00DB3961" w:rsidRPr="007B0ED8">
        <w:rPr>
          <w:rFonts w:ascii="Times New Roman" w:hAnsi="Times New Roman" w:cs="Courier New"/>
          <w:sz w:val="24"/>
          <w:szCs w:val="24"/>
        </w:rPr>
        <w:t xml:space="preserve">författas </w:t>
      </w:r>
      <w:r w:rsidR="007654CE" w:rsidRPr="007B0ED8">
        <w:rPr>
          <w:rFonts w:ascii="Times New Roman" w:hAnsi="Times New Roman" w:cs="Courier New"/>
          <w:sz w:val="24"/>
          <w:szCs w:val="24"/>
        </w:rPr>
        <w:t xml:space="preserve">av Mathaios </w:t>
      </w:r>
      <w:r w:rsidR="002D5B4E" w:rsidRPr="007B0ED8">
        <w:rPr>
          <w:rFonts w:ascii="Times New Roman" w:hAnsi="Times New Roman" w:cs="Courier New"/>
          <w:sz w:val="24"/>
          <w:szCs w:val="24"/>
        </w:rPr>
        <w:t xml:space="preserve">när han är bosatt i </w:t>
      </w:r>
      <w:proofErr w:type="spellStart"/>
      <w:r w:rsidR="007654CE" w:rsidRPr="007B0ED8">
        <w:rPr>
          <w:rFonts w:ascii="Times New Roman" w:hAnsi="Times New Roman" w:cs="Courier New"/>
          <w:sz w:val="24"/>
          <w:szCs w:val="24"/>
        </w:rPr>
        <w:t>Antinoopolis</w:t>
      </w:r>
      <w:proofErr w:type="spellEnd"/>
      <w:r w:rsidR="007654CE" w:rsidRPr="007B0ED8">
        <w:rPr>
          <w:rFonts w:ascii="Times New Roman" w:hAnsi="Times New Roman" w:cs="Courier New"/>
          <w:sz w:val="24"/>
          <w:szCs w:val="24"/>
        </w:rPr>
        <w:t>.</w:t>
      </w:r>
      <w:r w:rsidR="00DB3961" w:rsidRPr="007B0ED8">
        <w:rPr>
          <w:rFonts w:ascii="Times New Roman" w:hAnsi="Times New Roman" w:cs="Courier New"/>
          <w:sz w:val="24"/>
          <w:szCs w:val="24"/>
        </w:rPr>
        <w:t xml:space="preserve"> I Kell. </w:t>
      </w:r>
      <w:proofErr w:type="spellStart"/>
      <w:r w:rsidR="00DB3961" w:rsidRPr="007B0ED8">
        <w:rPr>
          <w:rFonts w:ascii="Times New Roman" w:hAnsi="Times New Roman" w:cs="Courier New"/>
          <w:sz w:val="24"/>
          <w:szCs w:val="24"/>
        </w:rPr>
        <w:t>Copt</w:t>
      </w:r>
      <w:proofErr w:type="spellEnd"/>
      <w:r w:rsidR="00DB3961" w:rsidRPr="007B0ED8">
        <w:rPr>
          <w:rFonts w:ascii="Times New Roman" w:hAnsi="Times New Roman" w:cs="Courier New"/>
          <w:sz w:val="24"/>
          <w:szCs w:val="24"/>
        </w:rPr>
        <w:t xml:space="preserve">. 19 skriver Makarios till sin hustru Maria som verkar </w:t>
      </w:r>
      <w:r w:rsidR="00F178F0" w:rsidRPr="007B0ED8">
        <w:rPr>
          <w:rFonts w:ascii="Times New Roman" w:hAnsi="Times New Roman" w:cs="Courier New"/>
          <w:sz w:val="24"/>
          <w:szCs w:val="24"/>
        </w:rPr>
        <w:t xml:space="preserve">vara fast </w:t>
      </w:r>
      <w:r w:rsidR="00DB3961" w:rsidRPr="007B0ED8">
        <w:rPr>
          <w:rFonts w:ascii="Times New Roman" w:hAnsi="Times New Roman" w:cs="Courier New"/>
          <w:sz w:val="24"/>
          <w:szCs w:val="24"/>
        </w:rPr>
        <w:t>bo</w:t>
      </w:r>
      <w:r w:rsidR="00F178F0" w:rsidRPr="007B0ED8">
        <w:rPr>
          <w:rFonts w:ascii="Times New Roman" w:hAnsi="Times New Roman" w:cs="Courier New"/>
          <w:sz w:val="24"/>
          <w:szCs w:val="24"/>
        </w:rPr>
        <w:t>satt</w:t>
      </w:r>
      <w:r w:rsidR="00DB3961" w:rsidRPr="007B0ED8">
        <w:rPr>
          <w:rFonts w:ascii="Times New Roman" w:hAnsi="Times New Roman" w:cs="Courier New"/>
          <w:sz w:val="24"/>
          <w:szCs w:val="24"/>
        </w:rPr>
        <w:t xml:space="preserve"> i Kellis. Mathaios är då fortfarande ung och det är intressant att se </w:t>
      </w:r>
      <w:r w:rsidR="00C159A3" w:rsidRPr="007B0ED8">
        <w:rPr>
          <w:rFonts w:ascii="Times New Roman" w:hAnsi="Times New Roman" w:cs="Courier New"/>
          <w:sz w:val="24"/>
          <w:szCs w:val="24"/>
        </w:rPr>
        <w:t xml:space="preserve">med vilket </w:t>
      </w:r>
      <w:r w:rsidR="00DB3961" w:rsidRPr="007B0ED8">
        <w:rPr>
          <w:rFonts w:ascii="Times New Roman" w:hAnsi="Times New Roman" w:cs="Courier New"/>
          <w:sz w:val="24"/>
          <w:szCs w:val="24"/>
        </w:rPr>
        <w:t>patos som Makarios uppm</w:t>
      </w:r>
      <w:r w:rsidR="00F178F0" w:rsidRPr="007B0ED8">
        <w:rPr>
          <w:rFonts w:ascii="Times New Roman" w:hAnsi="Times New Roman" w:cs="Courier New"/>
          <w:sz w:val="24"/>
          <w:szCs w:val="24"/>
        </w:rPr>
        <w:t xml:space="preserve">untrar </w:t>
      </w:r>
      <w:r w:rsidR="00DB3961" w:rsidRPr="007B0ED8">
        <w:rPr>
          <w:rFonts w:ascii="Times New Roman" w:hAnsi="Times New Roman" w:cs="Courier New"/>
          <w:sz w:val="24"/>
          <w:szCs w:val="24"/>
        </w:rPr>
        <w:t>Mathaios i att öva sig i läsning och skrivning. Det är de religiösa texterna som står i centrum, men då vi i senare brev åter möter Mathaios är det uppenbart att hans språkliga och stilistiska kompetens utvecklats till hög nivå.</w:t>
      </w:r>
      <w:r w:rsidR="00986305" w:rsidRPr="007B0ED8">
        <w:rPr>
          <w:rFonts w:ascii="Times New Roman" w:hAnsi="Times New Roman" w:cs="Courier New"/>
          <w:sz w:val="24"/>
          <w:szCs w:val="24"/>
        </w:rPr>
        <w:t xml:space="preserve"> Hans övning har således inte begränsats till kopiering av religiösa texter. </w:t>
      </w:r>
      <w:r w:rsidR="00DB3961" w:rsidRPr="007B0ED8">
        <w:rPr>
          <w:rFonts w:ascii="Times New Roman" w:hAnsi="Times New Roman" w:cs="Courier New"/>
          <w:sz w:val="24"/>
          <w:szCs w:val="24"/>
        </w:rPr>
        <w:t xml:space="preserve">Möjligtvis är Makarios och Mathaios utvalda, men det är troligare att vi i deras brev snarare möter djupt religiöst engagerade hörare. </w:t>
      </w:r>
    </w:p>
    <w:p w:rsidR="00E749D2" w:rsidRPr="007B0ED8" w:rsidRDefault="00E749D2" w:rsidP="00550EA1">
      <w:pPr>
        <w:autoSpaceDE w:val="0"/>
        <w:autoSpaceDN w:val="0"/>
        <w:adjustRightInd w:val="0"/>
        <w:spacing w:after="0" w:line="240" w:lineRule="auto"/>
        <w:rPr>
          <w:rFonts w:ascii="Times New Roman" w:hAnsi="Times New Roman" w:cs="Courier New"/>
          <w:sz w:val="24"/>
          <w:szCs w:val="24"/>
        </w:rPr>
      </w:pPr>
    </w:p>
    <w:p w:rsidR="00515711" w:rsidRPr="007B0ED8" w:rsidRDefault="00DB3961"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Mathaios </w:t>
      </w:r>
      <w:r w:rsidR="00783FBE" w:rsidRPr="007B0ED8">
        <w:rPr>
          <w:rFonts w:ascii="Times New Roman" w:hAnsi="Times New Roman" w:cs="Courier New"/>
          <w:sz w:val="24"/>
          <w:szCs w:val="24"/>
        </w:rPr>
        <w:t xml:space="preserve">har även två systrar och en </w:t>
      </w:r>
      <w:r w:rsidRPr="007B0ED8">
        <w:rPr>
          <w:rFonts w:ascii="Times New Roman" w:hAnsi="Times New Roman" w:cs="Courier New"/>
          <w:sz w:val="24"/>
          <w:szCs w:val="24"/>
        </w:rPr>
        <w:t>yngre bro</w:t>
      </w:r>
      <w:r w:rsidR="00C159A3" w:rsidRPr="007B0ED8">
        <w:rPr>
          <w:rFonts w:ascii="Times New Roman" w:hAnsi="Times New Roman" w:cs="Courier New"/>
          <w:sz w:val="24"/>
          <w:szCs w:val="24"/>
        </w:rPr>
        <w:t>r</w:t>
      </w:r>
      <w:r w:rsidR="006811EB" w:rsidRPr="007B0ED8">
        <w:rPr>
          <w:rFonts w:ascii="Times New Roman" w:hAnsi="Times New Roman" w:cs="Courier New"/>
          <w:sz w:val="24"/>
          <w:szCs w:val="24"/>
        </w:rPr>
        <w:t>,</w:t>
      </w:r>
      <w:r w:rsidRPr="007B0ED8">
        <w:rPr>
          <w:rFonts w:ascii="Times New Roman" w:hAnsi="Times New Roman" w:cs="Courier New"/>
          <w:sz w:val="24"/>
          <w:szCs w:val="24"/>
        </w:rPr>
        <w:t xml:space="preserve"> </w:t>
      </w:r>
      <w:proofErr w:type="spellStart"/>
      <w:r w:rsidRPr="007B0ED8">
        <w:rPr>
          <w:rFonts w:ascii="Times New Roman" w:hAnsi="Times New Roman" w:cs="Courier New"/>
          <w:sz w:val="24"/>
          <w:szCs w:val="24"/>
        </w:rPr>
        <w:t>Piene</w:t>
      </w:r>
      <w:proofErr w:type="spellEnd"/>
      <w:r w:rsidR="00783FBE" w:rsidRPr="007B0ED8">
        <w:rPr>
          <w:rFonts w:ascii="Times New Roman" w:hAnsi="Times New Roman" w:cs="Courier New"/>
          <w:sz w:val="24"/>
          <w:szCs w:val="24"/>
        </w:rPr>
        <w:t>. Det talar för att Maria haft åtminstone fyra barn.</w:t>
      </w:r>
      <w:r w:rsidR="00783FBE" w:rsidRPr="007B0ED8">
        <w:rPr>
          <w:rStyle w:val="Fotnotsreferens"/>
          <w:rFonts w:ascii="Times New Roman" w:hAnsi="Times New Roman" w:cs="Courier New"/>
          <w:sz w:val="24"/>
          <w:szCs w:val="24"/>
        </w:rPr>
        <w:footnoteReference w:id="57"/>
      </w:r>
      <w:r w:rsidR="00783FBE" w:rsidRPr="007B0ED8">
        <w:rPr>
          <w:rFonts w:ascii="Times New Roman" w:hAnsi="Times New Roman" w:cs="Courier New"/>
          <w:sz w:val="24"/>
          <w:szCs w:val="24"/>
        </w:rPr>
        <w:t xml:space="preserve"> </w:t>
      </w:r>
      <w:r w:rsidR="007D0109" w:rsidRPr="007B0ED8">
        <w:rPr>
          <w:rFonts w:ascii="Times New Roman" w:hAnsi="Times New Roman" w:cs="Courier New"/>
          <w:sz w:val="24"/>
          <w:szCs w:val="24"/>
        </w:rPr>
        <w:t xml:space="preserve">Det är ytterligare ett exempel på hur vi måste ta dogmatiska föreskrifter om barnbegränsning </w:t>
      </w:r>
      <w:r w:rsidR="00D453CE" w:rsidRPr="007B0ED8">
        <w:rPr>
          <w:rFonts w:ascii="Times New Roman" w:hAnsi="Times New Roman" w:cs="Courier New"/>
          <w:sz w:val="24"/>
          <w:szCs w:val="24"/>
        </w:rPr>
        <w:t>med en stor nypa salt</w:t>
      </w:r>
      <w:r w:rsidR="007D0109" w:rsidRPr="007B0ED8">
        <w:rPr>
          <w:rFonts w:ascii="Times New Roman" w:hAnsi="Times New Roman" w:cs="Courier New"/>
          <w:sz w:val="24"/>
          <w:szCs w:val="24"/>
        </w:rPr>
        <w:t xml:space="preserve">. Inte ens den fromma familj som vi möter i Kell. </w:t>
      </w:r>
      <w:proofErr w:type="spellStart"/>
      <w:r w:rsidR="007D0109" w:rsidRPr="007B0ED8">
        <w:rPr>
          <w:rFonts w:ascii="Times New Roman" w:hAnsi="Times New Roman" w:cs="Courier New"/>
          <w:sz w:val="24"/>
          <w:szCs w:val="24"/>
        </w:rPr>
        <w:t>Copt</w:t>
      </w:r>
      <w:proofErr w:type="spellEnd"/>
      <w:r w:rsidR="007D0109" w:rsidRPr="007B0ED8">
        <w:rPr>
          <w:rFonts w:ascii="Times New Roman" w:hAnsi="Times New Roman" w:cs="Courier New"/>
          <w:sz w:val="24"/>
          <w:szCs w:val="24"/>
        </w:rPr>
        <w:t>. 19-29 verkar se flera barn som något problem.</w:t>
      </w:r>
    </w:p>
    <w:p w:rsidR="00954DA4" w:rsidRPr="007B0ED8" w:rsidRDefault="00954DA4" w:rsidP="00550EA1">
      <w:pPr>
        <w:autoSpaceDE w:val="0"/>
        <w:autoSpaceDN w:val="0"/>
        <w:adjustRightInd w:val="0"/>
        <w:spacing w:after="0" w:line="240" w:lineRule="auto"/>
        <w:rPr>
          <w:rFonts w:ascii="Times New Roman" w:hAnsi="Times New Roman" w:cs="Courier New"/>
          <w:sz w:val="24"/>
          <w:szCs w:val="24"/>
        </w:rPr>
      </w:pPr>
    </w:p>
    <w:p w:rsidR="00F178F0" w:rsidRPr="007B0ED8" w:rsidRDefault="00515711"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Från Kell. </w:t>
      </w:r>
      <w:proofErr w:type="spellStart"/>
      <w:r w:rsidRPr="007B0ED8">
        <w:rPr>
          <w:rFonts w:ascii="Times New Roman" w:hAnsi="Times New Roman" w:cs="Courier New"/>
          <w:sz w:val="24"/>
          <w:szCs w:val="24"/>
        </w:rPr>
        <w:t>Copt</w:t>
      </w:r>
      <w:proofErr w:type="spellEnd"/>
      <w:r w:rsidRPr="007B0ED8">
        <w:rPr>
          <w:rFonts w:ascii="Times New Roman" w:hAnsi="Times New Roman" w:cs="Courier New"/>
          <w:sz w:val="24"/>
          <w:szCs w:val="24"/>
        </w:rPr>
        <w:t xml:space="preserve">. 20 och framåt möter vi Mathaios och hans yngre bror </w:t>
      </w:r>
      <w:proofErr w:type="spellStart"/>
      <w:r w:rsidRPr="007B0ED8">
        <w:rPr>
          <w:rFonts w:ascii="Times New Roman" w:hAnsi="Times New Roman" w:cs="Courier New"/>
          <w:sz w:val="24"/>
          <w:szCs w:val="24"/>
        </w:rPr>
        <w:t>Piene</w:t>
      </w:r>
      <w:proofErr w:type="spellEnd"/>
      <w:r w:rsidRPr="007B0ED8">
        <w:rPr>
          <w:rFonts w:ascii="Times New Roman" w:hAnsi="Times New Roman" w:cs="Courier New"/>
          <w:sz w:val="24"/>
          <w:szCs w:val="24"/>
        </w:rPr>
        <w:t xml:space="preserve"> i Nildalen. </w:t>
      </w:r>
      <w:proofErr w:type="spellStart"/>
      <w:r w:rsidRPr="007B0ED8">
        <w:rPr>
          <w:rFonts w:ascii="Times New Roman" w:hAnsi="Times New Roman" w:cs="Courier New"/>
          <w:sz w:val="24"/>
          <w:szCs w:val="24"/>
        </w:rPr>
        <w:t>Piene</w:t>
      </w:r>
      <w:proofErr w:type="spellEnd"/>
      <w:r w:rsidRPr="007B0ED8">
        <w:rPr>
          <w:rFonts w:ascii="Times New Roman" w:hAnsi="Times New Roman" w:cs="Courier New"/>
          <w:sz w:val="24"/>
          <w:szCs w:val="24"/>
        </w:rPr>
        <w:t xml:space="preserve"> genomgår utbildning till utvald.</w:t>
      </w:r>
      <w:r w:rsidRPr="007B0ED8">
        <w:rPr>
          <w:rStyle w:val="Fotnotsreferens"/>
          <w:rFonts w:ascii="Times New Roman" w:hAnsi="Times New Roman" w:cs="Courier New"/>
          <w:sz w:val="24"/>
          <w:szCs w:val="24"/>
        </w:rPr>
        <w:footnoteReference w:id="58"/>
      </w:r>
      <w:r w:rsidRPr="007B0ED8">
        <w:rPr>
          <w:rFonts w:ascii="Times New Roman" w:hAnsi="Times New Roman" w:cs="Courier New"/>
          <w:sz w:val="24"/>
          <w:szCs w:val="24"/>
        </w:rPr>
        <w:t xml:space="preserve"> </w:t>
      </w:r>
      <w:r w:rsidR="00F178F0" w:rsidRPr="007B0ED8">
        <w:rPr>
          <w:rFonts w:ascii="Times New Roman" w:hAnsi="Times New Roman" w:cs="Courier New"/>
          <w:sz w:val="24"/>
          <w:szCs w:val="24"/>
        </w:rPr>
        <w:t>Missionerande reser han t</w:t>
      </w:r>
      <w:r w:rsidR="00840EA3" w:rsidRPr="007B0ED8">
        <w:rPr>
          <w:rFonts w:ascii="Times New Roman" w:hAnsi="Times New Roman" w:cs="Courier New"/>
          <w:sz w:val="24"/>
          <w:szCs w:val="24"/>
        </w:rPr>
        <w:t>illsammans med sin l</w:t>
      </w:r>
      <w:r w:rsidR="00D453CE" w:rsidRPr="007B0ED8">
        <w:rPr>
          <w:rFonts w:ascii="Times New Roman" w:hAnsi="Times New Roman" w:cs="Courier New"/>
          <w:sz w:val="24"/>
          <w:szCs w:val="24"/>
        </w:rPr>
        <w:t>ä</w:t>
      </w:r>
      <w:r w:rsidR="00F178F0" w:rsidRPr="007B0ED8">
        <w:rPr>
          <w:rFonts w:ascii="Times New Roman" w:hAnsi="Times New Roman" w:cs="Courier New"/>
          <w:sz w:val="24"/>
          <w:szCs w:val="24"/>
        </w:rPr>
        <w:t xml:space="preserve">rare från Alexandria </w:t>
      </w:r>
      <w:r w:rsidR="00840EA3" w:rsidRPr="007B0ED8">
        <w:rPr>
          <w:rFonts w:ascii="Times New Roman" w:hAnsi="Times New Roman" w:cs="Courier New"/>
          <w:sz w:val="24"/>
          <w:szCs w:val="24"/>
        </w:rPr>
        <w:t xml:space="preserve">upp </w:t>
      </w:r>
      <w:r w:rsidR="00F178F0" w:rsidRPr="007B0ED8">
        <w:rPr>
          <w:rFonts w:ascii="Times New Roman" w:hAnsi="Times New Roman" w:cs="Courier New"/>
          <w:sz w:val="24"/>
          <w:szCs w:val="24"/>
        </w:rPr>
        <w:t>och ned l</w:t>
      </w:r>
      <w:r w:rsidR="00840EA3" w:rsidRPr="007B0ED8">
        <w:rPr>
          <w:rFonts w:ascii="Times New Roman" w:hAnsi="Times New Roman" w:cs="Courier New"/>
          <w:sz w:val="24"/>
          <w:szCs w:val="24"/>
        </w:rPr>
        <w:t>ängs Nilen.</w:t>
      </w:r>
      <w:r w:rsidR="00840EA3" w:rsidRPr="007B0ED8">
        <w:rPr>
          <w:rStyle w:val="Fotnotsreferens"/>
          <w:rFonts w:ascii="Times New Roman" w:hAnsi="Times New Roman" w:cs="Courier New"/>
          <w:sz w:val="24"/>
          <w:szCs w:val="24"/>
        </w:rPr>
        <w:footnoteReference w:id="59"/>
      </w:r>
    </w:p>
    <w:p w:rsidR="00E749D2" w:rsidRPr="007B0ED8" w:rsidRDefault="00E749D2" w:rsidP="00550EA1">
      <w:pPr>
        <w:autoSpaceDE w:val="0"/>
        <w:autoSpaceDN w:val="0"/>
        <w:adjustRightInd w:val="0"/>
        <w:spacing w:after="0" w:line="240" w:lineRule="auto"/>
        <w:rPr>
          <w:rFonts w:ascii="Times New Roman" w:hAnsi="Times New Roman" w:cs="Courier New"/>
          <w:sz w:val="24"/>
          <w:szCs w:val="24"/>
        </w:rPr>
      </w:pPr>
    </w:p>
    <w:p w:rsidR="00065475" w:rsidRPr="007B0ED8" w:rsidRDefault="00F178F0" w:rsidP="00550EA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De här berörda breven </w:t>
      </w:r>
      <w:r w:rsidR="00522168" w:rsidRPr="007B0ED8">
        <w:rPr>
          <w:rFonts w:ascii="Times New Roman" w:hAnsi="Times New Roman" w:cs="Courier New"/>
          <w:sz w:val="24"/>
          <w:szCs w:val="24"/>
        </w:rPr>
        <w:t>kommer från h</w:t>
      </w:r>
      <w:r w:rsidR="00D6300F" w:rsidRPr="007B0ED8">
        <w:rPr>
          <w:rFonts w:ascii="Times New Roman" w:hAnsi="Times New Roman" w:cs="Courier New"/>
          <w:sz w:val="24"/>
          <w:szCs w:val="24"/>
        </w:rPr>
        <w:t>us 3 i Kellis</w:t>
      </w:r>
      <w:r w:rsidRPr="007B0ED8">
        <w:rPr>
          <w:rFonts w:ascii="Times New Roman" w:hAnsi="Times New Roman" w:cs="Courier New"/>
          <w:sz w:val="24"/>
          <w:szCs w:val="24"/>
        </w:rPr>
        <w:t xml:space="preserve"> och har alltså en distinkt </w:t>
      </w:r>
      <w:proofErr w:type="spellStart"/>
      <w:r w:rsidRPr="007B0ED8">
        <w:rPr>
          <w:rFonts w:ascii="Times New Roman" w:hAnsi="Times New Roman" w:cs="Courier New"/>
          <w:sz w:val="24"/>
          <w:szCs w:val="24"/>
        </w:rPr>
        <w:t>manikéisk</w:t>
      </w:r>
      <w:proofErr w:type="spellEnd"/>
      <w:r w:rsidRPr="007B0ED8">
        <w:rPr>
          <w:rFonts w:ascii="Times New Roman" w:hAnsi="Times New Roman" w:cs="Courier New"/>
          <w:sz w:val="24"/>
          <w:szCs w:val="24"/>
        </w:rPr>
        <w:t xml:space="preserve"> karaktär</w:t>
      </w:r>
      <w:r w:rsidR="00D6300F" w:rsidRPr="007B0ED8">
        <w:rPr>
          <w:rFonts w:ascii="Times New Roman" w:hAnsi="Times New Roman" w:cs="Courier New"/>
          <w:sz w:val="24"/>
          <w:szCs w:val="24"/>
        </w:rPr>
        <w:t xml:space="preserve">. </w:t>
      </w:r>
      <w:r w:rsidR="000B7A80" w:rsidRPr="007B0ED8">
        <w:rPr>
          <w:rFonts w:ascii="Times New Roman" w:hAnsi="Times New Roman" w:cs="Courier New"/>
          <w:sz w:val="24"/>
          <w:szCs w:val="24"/>
        </w:rPr>
        <w:t xml:space="preserve">I den mer detaljerade analysen kommer vi koncentrera oss på Kell. </w:t>
      </w:r>
      <w:proofErr w:type="spellStart"/>
      <w:r w:rsidR="000B7A80" w:rsidRPr="007B0ED8">
        <w:rPr>
          <w:rFonts w:ascii="Times New Roman" w:hAnsi="Times New Roman" w:cs="Courier New"/>
          <w:sz w:val="24"/>
          <w:szCs w:val="24"/>
        </w:rPr>
        <w:t>Copt</w:t>
      </w:r>
      <w:proofErr w:type="spellEnd"/>
      <w:r w:rsidR="000B7A80" w:rsidRPr="007B0ED8">
        <w:rPr>
          <w:rFonts w:ascii="Times New Roman" w:hAnsi="Times New Roman" w:cs="Courier New"/>
          <w:sz w:val="24"/>
          <w:szCs w:val="24"/>
        </w:rPr>
        <w:t>. 15 som kom</w:t>
      </w:r>
      <w:r w:rsidR="00522168" w:rsidRPr="007B0ED8">
        <w:rPr>
          <w:rFonts w:ascii="Times New Roman" w:hAnsi="Times New Roman" w:cs="Courier New"/>
          <w:sz w:val="24"/>
          <w:szCs w:val="24"/>
        </w:rPr>
        <w:t>m</w:t>
      </w:r>
      <w:r w:rsidR="000B7A80" w:rsidRPr="007B0ED8">
        <w:rPr>
          <w:rFonts w:ascii="Times New Roman" w:hAnsi="Times New Roman" w:cs="Courier New"/>
          <w:sz w:val="24"/>
          <w:szCs w:val="24"/>
        </w:rPr>
        <w:t xml:space="preserve">er </w:t>
      </w:r>
      <w:r w:rsidR="00522168" w:rsidRPr="007B0ED8">
        <w:rPr>
          <w:rFonts w:ascii="Times New Roman" w:hAnsi="Times New Roman" w:cs="Courier New"/>
          <w:sz w:val="24"/>
          <w:szCs w:val="24"/>
        </w:rPr>
        <w:t>från samma hus</w:t>
      </w:r>
      <w:r w:rsidR="000B7A80" w:rsidRPr="007B0ED8">
        <w:rPr>
          <w:rFonts w:ascii="Times New Roman" w:hAnsi="Times New Roman" w:cs="Courier New"/>
          <w:sz w:val="24"/>
          <w:szCs w:val="24"/>
        </w:rPr>
        <w:t>,</w:t>
      </w:r>
      <w:r w:rsidR="002D5B4E" w:rsidRPr="007B0ED8">
        <w:rPr>
          <w:rFonts w:ascii="Times New Roman" w:hAnsi="Times New Roman" w:cs="Courier New"/>
          <w:sz w:val="24"/>
          <w:szCs w:val="24"/>
        </w:rPr>
        <w:t xml:space="preserve"> men även texterna från Hus 2 hä</w:t>
      </w:r>
      <w:r w:rsidR="000B7A80" w:rsidRPr="007B0ED8">
        <w:rPr>
          <w:rFonts w:ascii="Times New Roman" w:hAnsi="Times New Roman" w:cs="Courier New"/>
          <w:sz w:val="24"/>
          <w:szCs w:val="24"/>
        </w:rPr>
        <w:t xml:space="preserve">rrör </w:t>
      </w:r>
      <w:r w:rsidR="002D5B4E" w:rsidRPr="007B0ED8">
        <w:rPr>
          <w:rFonts w:ascii="Times New Roman" w:hAnsi="Times New Roman" w:cs="Courier New"/>
          <w:sz w:val="24"/>
          <w:szCs w:val="24"/>
        </w:rPr>
        <w:t xml:space="preserve">med stor sannolikhet </w:t>
      </w:r>
      <w:r w:rsidR="000B7A80" w:rsidRPr="007B0ED8">
        <w:rPr>
          <w:rFonts w:ascii="Times New Roman" w:hAnsi="Times New Roman" w:cs="Courier New"/>
          <w:sz w:val="24"/>
          <w:szCs w:val="24"/>
        </w:rPr>
        <w:t xml:space="preserve">också från en manikeisk kontext och vägs in när så är lämpligt. </w:t>
      </w:r>
      <w:r w:rsidR="00B41767" w:rsidRPr="007B0ED8">
        <w:rPr>
          <w:rFonts w:ascii="Times New Roman" w:hAnsi="Times New Roman" w:cs="Courier New"/>
          <w:sz w:val="24"/>
          <w:szCs w:val="24"/>
        </w:rPr>
        <w:t>D</w:t>
      </w:r>
      <w:r w:rsidR="00522168" w:rsidRPr="007B0ED8">
        <w:rPr>
          <w:rFonts w:ascii="Times New Roman" w:hAnsi="Times New Roman" w:cs="Courier New"/>
          <w:sz w:val="24"/>
          <w:szCs w:val="24"/>
        </w:rPr>
        <w:t>e</w:t>
      </w:r>
      <w:r w:rsidR="00B41767" w:rsidRPr="007B0ED8">
        <w:rPr>
          <w:rFonts w:ascii="Times New Roman" w:hAnsi="Times New Roman" w:cs="Courier New"/>
          <w:sz w:val="24"/>
          <w:szCs w:val="24"/>
        </w:rPr>
        <w:t>n redan nämnda Maria</w:t>
      </w:r>
      <w:r w:rsidR="00522168" w:rsidRPr="007B0ED8">
        <w:rPr>
          <w:rFonts w:ascii="Times New Roman" w:hAnsi="Times New Roman" w:cs="Courier New"/>
          <w:sz w:val="24"/>
          <w:szCs w:val="24"/>
        </w:rPr>
        <w:t>s</w:t>
      </w:r>
      <w:r w:rsidR="00B41767" w:rsidRPr="007B0ED8">
        <w:rPr>
          <w:rFonts w:ascii="Times New Roman" w:hAnsi="Times New Roman" w:cs="Courier New"/>
          <w:sz w:val="24"/>
          <w:szCs w:val="24"/>
        </w:rPr>
        <w:t xml:space="preserve"> syster </w:t>
      </w:r>
      <w:proofErr w:type="spellStart"/>
      <w:r w:rsidR="00B41767" w:rsidRPr="007B0ED8">
        <w:rPr>
          <w:rFonts w:ascii="Times New Roman" w:hAnsi="Times New Roman" w:cs="Courier New"/>
          <w:sz w:val="24"/>
          <w:szCs w:val="24"/>
        </w:rPr>
        <w:t>Kyria</w:t>
      </w:r>
      <w:proofErr w:type="spellEnd"/>
      <w:r w:rsidR="00B41767" w:rsidRPr="007B0ED8">
        <w:rPr>
          <w:rFonts w:ascii="Times New Roman" w:hAnsi="Times New Roman" w:cs="Courier New"/>
          <w:sz w:val="24"/>
          <w:szCs w:val="24"/>
        </w:rPr>
        <w:t xml:space="preserve"> </w:t>
      </w:r>
      <w:r w:rsidR="00522168" w:rsidRPr="007B0ED8">
        <w:rPr>
          <w:rFonts w:ascii="Times New Roman" w:hAnsi="Times New Roman" w:cs="Courier New"/>
          <w:sz w:val="24"/>
          <w:szCs w:val="24"/>
        </w:rPr>
        <w:t xml:space="preserve">är </w:t>
      </w:r>
      <w:r w:rsidR="00B41767" w:rsidRPr="007B0ED8">
        <w:rPr>
          <w:rFonts w:ascii="Times New Roman" w:hAnsi="Times New Roman" w:cs="Courier New"/>
          <w:sz w:val="24"/>
          <w:szCs w:val="24"/>
        </w:rPr>
        <w:t>tidvis bo</w:t>
      </w:r>
      <w:r w:rsidR="00522168" w:rsidRPr="007B0ED8">
        <w:rPr>
          <w:rFonts w:ascii="Times New Roman" w:hAnsi="Times New Roman" w:cs="Courier New"/>
          <w:sz w:val="24"/>
          <w:szCs w:val="24"/>
        </w:rPr>
        <w:t>satt i h</w:t>
      </w:r>
      <w:r w:rsidR="00B41767" w:rsidRPr="007B0ED8">
        <w:rPr>
          <w:rFonts w:ascii="Times New Roman" w:hAnsi="Times New Roman" w:cs="Courier New"/>
          <w:sz w:val="24"/>
          <w:szCs w:val="24"/>
        </w:rPr>
        <w:t xml:space="preserve">us 2. </w:t>
      </w:r>
      <w:r w:rsidRPr="007B0ED8">
        <w:rPr>
          <w:rFonts w:ascii="Times New Roman" w:hAnsi="Times New Roman" w:cs="Courier New"/>
          <w:sz w:val="24"/>
          <w:szCs w:val="24"/>
        </w:rPr>
        <w:t>T</w:t>
      </w:r>
      <w:r w:rsidR="00B41767" w:rsidRPr="007B0ED8">
        <w:rPr>
          <w:rFonts w:ascii="Times New Roman" w:hAnsi="Times New Roman" w:cs="Courier New"/>
          <w:sz w:val="24"/>
          <w:szCs w:val="24"/>
        </w:rPr>
        <w:t>roligt</w:t>
      </w:r>
      <w:r w:rsidRPr="007B0ED8">
        <w:rPr>
          <w:rFonts w:ascii="Times New Roman" w:hAnsi="Times New Roman" w:cs="Courier New"/>
          <w:sz w:val="24"/>
          <w:szCs w:val="24"/>
        </w:rPr>
        <w:t xml:space="preserve">vis beboddes </w:t>
      </w:r>
      <w:r w:rsidR="00B41767" w:rsidRPr="007B0ED8">
        <w:rPr>
          <w:rFonts w:ascii="Times New Roman" w:hAnsi="Times New Roman" w:cs="Courier New"/>
          <w:sz w:val="24"/>
          <w:szCs w:val="24"/>
        </w:rPr>
        <w:t xml:space="preserve">båda husen av manikéer då vi även har </w:t>
      </w:r>
      <w:r w:rsidR="0013537D" w:rsidRPr="007B0ED8">
        <w:rPr>
          <w:rFonts w:ascii="Times New Roman" w:hAnsi="Times New Roman" w:cs="Courier New"/>
          <w:sz w:val="24"/>
          <w:szCs w:val="24"/>
        </w:rPr>
        <w:t xml:space="preserve">rikligt med manikeisk litteratur i </w:t>
      </w:r>
      <w:r w:rsidR="00670D58" w:rsidRPr="007B0ED8">
        <w:rPr>
          <w:rFonts w:ascii="Times New Roman" w:hAnsi="Times New Roman" w:cs="Courier New"/>
          <w:sz w:val="24"/>
          <w:szCs w:val="24"/>
        </w:rPr>
        <w:t>dem. Oftast är det p</w:t>
      </w:r>
      <w:r w:rsidR="0013537D" w:rsidRPr="007B0ED8">
        <w:rPr>
          <w:rFonts w:ascii="Times New Roman" w:hAnsi="Times New Roman" w:cs="Courier New"/>
          <w:sz w:val="24"/>
          <w:szCs w:val="24"/>
        </w:rPr>
        <w:t>s</w:t>
      </w:r>
      <w:r w:rsidR="00670D58" w:rsidRPr="007B0ED8">
        <w:rPr>
          <w:rFonts w:ascii="Times New Roman" w:hAnsi="Times New Roman" w:cs="Courier New"/>
          <w:sz w:val="24"/>
          <w:szCs w:val="24"/>
        </w:rPr>
        <w:t>a</w:t>
      </w:r>
      <w:r w:rsidR="0013537D" w:rsidRPr="007B0ED8">
        <w:rPr>
          <w:rFonts w:ascii="Times New Roman" w:hAnsi="Times New Roman" w:cs="Courier New"/>
          <w:sz w:val="24"/>
          <w:szCs w:val="24"/>
        </w:rPr>
        <w:t>lmer som kopierats, stundom av o</w:t>
      </w:r>
      <w:r w:rsidR="00670D58" w:rsidRPr="007B0ED8">
        <w:rPr>
          <w:rFonts w:ascii="Times New Roman" w:hAnsi="Times New Roman" w:cs="Courier New"/>
          <w:sz w:val="24"/>
          <w:szCs w:val="24"/>
        </w:rPr>
        <w:t>vana händer.</w:t>
      </w:r>
      <w:r w:rsidR="00670D58" w:rsidRPr="007B0ED8">
        <w:rPr>
          <w:rStyle w:val="Fotnotsreferens"/>
          <w:rFonts w:ascii="Times New Roman" w:hAnsi="Times New Roman" w:cs="Courier New"/>
          <w:sz w:val="24"/>
          <w:szCs w:val="24"/>
        </w:rPr>
        <w:footnoteReference w:id="60"/>
      </w:r>
      <w:r w:rsidR="00670D58" w:rsidRPr="007B0ED8">
        <w:rPr>
          <w:rFonts w:ascii="Times New Roman" w:hAnsi="Times New Roman" w:cs="Courier New"/>
          <w:sz w:val="24"/>
          <w:szCs w:val="24"/>
        </w:rPr>
        <w:t xml:space="preserve"> Invånarna var </w:t>
      </w:r>
      <w:r w:rsidR="00065475" w:rsidRPr="007B0ED8">
        <w:rPr>
          <w:rFonts w:ascii="Times New Roman" w:hAnsi="Times New Roman" w:cs="Courier New"/>
          <w:sz w:val="24"/>
          <w:szCs w:val="24"/>
        </w:rPr>
        <w:t xml:space="preserve">alltså troligtvis </w:t>
      </w:r>
      <w:r w:rsidR="00670D58" w:rsidRPr="007B0ED8">
        <w:rPr>
          <w:rFonts w:ascii="Times New Roman" w:hAnsi="Times New Roman" w:cs="Courier New"/>
          <w:sz w:val="24"/>
          <w:szCs w:val="24"/>
        </w:rPr>
        <w:t xml:space="preserve">hörare som </w:t>
      </w:r>
      <w:r w:rsidR="00065475" w:rsidRPr="007B0ED8">
        <w:rPr>
          <w:rFonts w:ascii="Times New Roman" w:hAnsi="Times New Roman" w:cs="Courier New"/>
          <w:sz w:val="24"/>
          <w:szCs w:val="24"/>
        </w:rPr>
        <w:t xml:space="preserve">ivrade för att </w:t>
      </w:r>
      <w:r w:rsidR="00670D58" w:rsidRPr="007B0ED8">
        <w:rPr>
          <w:rFonts w:ascii="Times New Roman" w:hAnsi="Times New Roman" w:cs="Courier New"/>
          <w:sz w:val="24"/>
          <w:szCs w:val="24"/>
        </w:rPr>
        <w:t xml:space="preserve">tradera sin tradition. De hade </w:t>
      </w:r>
      <w:r w:rsidR="00670D58" w:rsidRPr="007B0ED8">
        <w:rPr>
          <w:rFonts w:ascii="Times New Roman" w:hAnsi="Times New Roman" w:cs="Courier New"/>
          <w:sz w:val="24"/>
          <w:szCs w:val="24"/>
        </w:rPr>
        <w:lastRenderedPageBreak/>
        <w:t xml:space="preserve">kontakter med högre </w:t>
      </w:r>
      <w:r w:rsidR="00065475" w:rsidRPr="007B0ED8">
        <w:rPr>
          <w:rFonts w:ascii="Times New Roman" w:hAnsi="Times New Roman" w:cs="Courier New"/>
          <w:sz w:val="24"/>
          <w:szCs w:val="24"/>
        </w:rPr>
        <w:t xml:space="preserve">kyrkliga </w:t>
      </w:r>
      <w:r w:rsidR="00670D58" w:rsidRPr="007B0ED8">
        <w:rPr>
          <w:rFonts w:ascii="Times New Roman" w:hAnsi="Times New Roman" w:cs="Courier New"/>
          <w:sz w:val="24"/>
          <w:szCs w:val="24"/>
        </w:rPr>
        <w:t xml:space="preserve">dignitärer i Nildalen, men det verkar som att det </w:t>
      </w:r>
      <w:r w:rsidR="00EC6A68" w:rsidRPr="007B0ED8">
        <w:rPr>
          <w:rFonts w:ascii="Times New Roman" w:hAnsi="Times New Roman" w:cs="Courier New"/>
          <w:sz w:val="24"/>
          <w:szCs w:val="24"/>
        </w:rPr>
        <w:t xml:space="preserve">även </w:t>
      </w:r>
      <w:r w:rsidR="00670D58" w:rsidRPr="007B0ED8">
        <w:rPr>
          <w:rFonts w:ascii="Times New Roman" w:hAnsi="Times New Roman" w:cs="Courier New"/>
          <w:sz w:val="24"/>
          <w:szCs w:val="24"/>
        </w:rPr>
        <w:t xml:space="preserve">funnits en </w:t>
      </w:r>
      <w:proofErr w:type="spellStart"/>
      <w:r w:rsidR="00670D58" w:rsidRPr="007B0ED8">
        <w:rPr>
          <w:rFonts w:ascii="Times New Roman" w:hAnsi="Times New Roman" w:cs="Courier New"/>
          <w:sz w:val="24"/>
          <w:szCs w:val="24"/>
        </w:rPr>
        <w:t>manikéisk</w:t>
      </w:r>
      <w:proofErr w:type="spellEnd"/>
      <w:r w:rsidR="00670D58" w:rsidRPr="007B0ED8">
        <w:rPr>
          <w:rFonts w:ascii="Times New Roman" w:hAnsi="Times New Roman" w:cs="Courier New"/>
          <w:sz w:val="24"/>
          <w:szCs w:val="24"/>
        </w:rPr>
        <w:t xml:space="preserve"> kommunitet för utvalda i närheten.</w:t>
      </w:r>
      <w:r w:rsidR="00670D58" w:rsidRPr="007B0ED8">
        <w:rPr>
          <w:rStyle w:val="Fotnotsreferens"/>
          <w:rFonts w:ascii="Times New Roman" w:hAnsi="Times New Roman" w:cs="Courier New"/>
          <w:sz w:val="24"/>
          <w:szCs w:val="24"/>
        </w:rPr>
        <w:footnoteReference w:id="61"/>
      </w:r>
      <w:r w:rsidR="00670D58" w:rsidRPr="007B0ED8">
        <w:rPr>
          <w:rFonts w:ascii="Times New Roman" w:hAnsi="Times New Roman" w:cs="Courier New"/>
          <w:sz w:val="24"/>
          <w:szCs w:val="24"/>
        </w:rPr>
        <w:t xml:space="preserve"> </w:t>
      </w:r>
    </w:p>
    <w:p w:rsidR="00E749D2" w:rsidRPr="007B0ED8" w:rsidRDefault="00E749D2" w:rsidP="00CD45C1">
      <w:pPr>
        <w:autoSpaceDE w:val="0"/>
        <w:autoSpaceDN w:val="0"/>
        <w:adjustRightInd w:val="0"/>
        <w:spacing w:after="0" w:line="240" w:lineRule="auto"/>
        <w:rPr>
          <w:rFonts w:ascii="Times New Roman" w:hAnsi="Times New Roman" w:cs="Courier New"/>
          <w:sz w:val="24"/>
          <w:szCs w:val="24"/>
        </w:rPr>
      </w:pPr>
    </w:p>
    <w:p w:rsidR="00CD45C1" w:rsidRPr="007B0ED8" w:rsidRDefault="003E0779"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När vi nu börjar analysera måltidsrelaterade aspekter i </w:t>
      </w:r>
      <w:proofErr w:type="spellStart"/>
      <w:r w:rsidRPr="007B0ED8">
        <w:rPr>
          <w:rFonts w:ascii="Times New Roman" w:hAnsi="Times New Roman" w:cs="Courier New"/>
          <w:sz w:val="24"/>
          <w:szCs w:val="24"/>
        </w:rPr>
        <w:t>kellismaterialet</w:t>
      </w:r>
      <w:proofErr w:type="spellEnd"/>
      <w:r w:rsidRPr="007B0ED8">
        <w:rPr>
          <w:rFonts w:ascii="Times New Roman" w:hAnsi="Times New Roman" w:cs="Courier New"/>
          <w:sz w:val="24"/>
          <w:szCs w:val="24"/>
        </w:rPr>
        <w:t xml:space="preserve"> är det också viktigt att väga in materialet i </w:t>
      </w:r>
      <w:r w:rsidR="009A6B5D" w:rsidRPr="007B0ED8">
        <w:rPr>
          <w:rFonts w:ascii="Times New Roman" w:hAnsi="Times New Roman" w:cs="Courier New"/>
          <w:sz w:val="24"/>
          <w:szCs w:val="24"/>
        </w:rPr>
        <w:t>Kellis räkenskapsbok för jordbruk</w:t>
      </w:r>
      <w:r w:rsidR="00FE4B38" w:rsidRPr="007B0ED8">
        <w:rPr>
          <w:rFonts w:ascii="Times New Roman" w:hAnsi="Times New Roman" w:cs="Courier New"/>
          <w:sz w:val="24"/>
          <w:szCs w:val="24"/>
        </w:rPr>
        <w:t xml:space="preserve"> som i det följande kallas </w:t>
      </w:r>
      <w:r w:rsidRPr="007B0ED8">
        <w:rPr>
          <w:rFonts w:ascii="Times New Roman" w:hAnsi="Times New Roman" w:cs="Courier New"/>
          <w:sz w:val="24"/>
          <w:szCs w:val="24"/>
        </w:rPr>
        <w:t xml:space="preserve">KAB. En del berör troligtvis manikéer och en del kristna, men att avgöra när det ena eller andra är fallet är </w:t>
      </w:r>
      <w:r w:rsidR="002025C6" w:rsidRPr="007B0ED8">
        <w:rPr>
          <w:rFonts w:ascii="Times New Roman" w:hAnsi="Times New Roman" w:cs="Courier New"/>
          <w:sz w:val="24"/>
          <w:szCs w:val="24"/>
        </w:rPr>
        <w:t xml:space="preserve">stundom </w:t>
      </w:r>
      <w:r w:rsidRPr="007B0ED8">
        <w:rPr>
          <w:rFonts w:ascii="Times New Roman" w:hAnsi="Times New Roman" w:cs="Courier New"/>
          <w:sz w:val="24"/>
          <w:szCs w:val="24"/>
        </w:rPr>
        <w:t>svårt.</w:t>
      </w:r>
    </w:p>
    <w:p w:rsidR="00E37CA9" w:rsidRPr="007B0ED8" w:rsidRDefault="00E37CA9" w:rsidP="00CD45C1">
      <w:pPr>
        <w:autoSpaceDE w:val="0"/>
        <w:autoSpaceDN w:val="0"/>
        <w:adjustRightInd w:val="0"/>
        <w:spacing w:after="0" w:line="240" w:lineRule="auto"/>
        <w:rPr>
          <w:rFonts w:ascii="Times New Roman" w:hAnsi="Times New Roman" w:cs="Courier New"/>
          <w:sz w:val="24"/>
          <w:szCs w:val="24"/>
        </w:rPr>
      </w:pPr>
    </w:p>
    <w:p w:rsidR="00CD45C1" w:rsidRPr="007B0ED8" w:rsidRDefault="00522168"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I l</w:t>
      </w:r>
      <w:r w:rsidR="00284B98" w:rsidRPr="007B0ED8">
        <w:rPr>
          <w:rFonts w:ascii="Times New Roman" w:hAnsi="Times New Roman" w:cs="Courier New"/>
          <w:sz w:val="24"/>
          <w:szCs w:val="24"/>
        </w:rPr>
        <w:t>ik</w:t>
      </w:r>
      <w:r w:rsidRPr="007B0ED8">
        <w:rPr>
          <w:rFonts w:ascii="Times New Roman" w:hAnsi="Times New Roman" w:cs="Courier New"/>
          <w:sz w:val="24"/>
          <w:szCs w:val="24"/>
        </w:rPr>
        <w:t xml:space="preserve">het med diskussionen om </w:t>
      </w:r>
      <w:r w:rsidR="00284B98" w:rsidRPr="007B0ED8">
        <w:rPr>
          <w:rFonts w:ascii="Times New Roman" w:hAnsi="Times New Roman" w:cs="Courier New"/>
          <w:sz w:val="24"/>
          <w:szCs w:val="24"/>
        </w:rPr>
        <w:t xml:space="preserve">det arabiska materialet stöter vi på terminologiska problem när vi vill analysera måltidens betydelse </w:t>
      </w:r>
      <w:r w:rsidR="004A4452" w:rsidRPr="007B0ED8">
        <w:rPr>
          <w:rFonts w:ascii="Times New Roman" w:hAnsi="Times New Roman" w:cs="Courier New"/>
          <w:sz w:val="24"/>
          <w:szCs w:val="24"/>
        </w:rPr>
        <w:t xml:space="preserve">för manikéerna i </w:t>
      </w:r>
      <w:r w:rsidR="00284B98" w:rsidRPr="007B0ED8">
        <w:rPr>
          <w:rFonts w:ascii="Times New Roman" w:hAnsi="Times New Roman" w:cs="Courier New"/>
          <w:sz w:val="24"/>
          <w:szCs w:val="24"/>
        </w:rPr>
        <w:t xml:space="preserve">Kellis. </w:t>
      </w:r>
      <w:r w:rsidR="004A4452" w:rsidRPr="007B0ED8">
        <w:rPr>
          <w:rFonts w:ascii="Times New Roman" w:hAnsi="Times New Roman" w:cs="Courier New"/>
          <w:sz w:val="24"/>
          <w:szCs w:val="24"/>
        </w:rPr>
        <w:t xml:space="preserve">Den term som man koncentrerat sig på i brist på annat är </w:t>
      </w:r>
      <w:r w:rsidR="004A4452" w:rsidRPr="007B0ED8">
        <w:rPr>
          <w:rFonts w:ascii="Times New Roman" w:hAnsi="Times New Roman" w:cs="Courier New"/>
          <w:i/>
          <w:sz w:val="24"/>
          <w:szCs w:val="24"/>
        </w:rPr>
        <w:t>agape</w:t>
      </w:r>
      <w:r w:rsidR="004A4452" w:rsidRPr="007B0ED8">
        <w:rPr>
          <w:rFonts w:ascii="Times New Roman" w:hAnsi="Times New Roman" w:cs="Courier New"/>
          <w:sz w:val="24"/>
          <w:szCs w:val="24"/>
        </w:rPr>
        <w:t>.</w:t>
      </w:r>
      <w:r w:rsidR="00AA732F" w:rsidRPr="007B0ED8">
        <w:rPr>
          <w:rFonts w:ascii="Times New Roman" w:hAnsi="Times New Roman" w:cs="Courier New"/>
          <w:sz w:val="24"/>
          <w:szCs w:val="24"/>
        </w:rPr>
        <w:t xml:space="preserve"> </w:t>
      </w:r>
      <w:r w:rsidR="002025C6" w:rsidRPr="007B0ED8">
        <w:rPr>
          <w:rFonts w:ascii="Times New Roman" w:hAnsi="Times New Roman" w:cs="Courier New"/>
          <w:i/>
          <w:sz w:val="24"/>
          <w:szCs w:val="24"/>
        </w:rPr>
        <w:t>Agape</w:t>
      </w:r>
      <w:r w:rsidR="002025C6" w:rsidRPr="007B0ED8">
        <w:rPr>
          <w:rFonts w:ascii="Times New Roman" w:hAnsi="Times New Roman" w:cs="Courier New"/>
          <w:sz w:val="24"/>
          <w:szCs w:val="24"/>
        </w:rPr>
        <w:t xml:space="preserve"> spelar en central roll i tidig kristendom. </w:t>
      </w:r>
      <w:r w:rsidR="00686084" w:rsidRPr="007B0ED8">
        <w:rPr>
          <w:rFonts w:ascii="Times New Roman" w:hAnsi="Times New Roman" w:cs="Courier New"/>
          <w:sz w:val="24"/>
          <w:szCs w:val="24"/>
        </w:rPr>
        <w:t xml:space="preserve">Stundom </w:t>
      </w:r>
      <w:r w:rsidR="002025C6" w:rsidRPr="007B0ED8">
        <w:rPr>
          <w:rFonts w:ascii="Times New Roman" w:hAnsi="Times New Roman" w:cs="Courier New"/>
          <w:sz w:val="24"/>
          <w:szCs w:val="24"/>
        </w:rPr>
        <w:t>kombinerades nattvarden med en måltid där omsorg om de fattiga stod i centrum. Detta bruk fortlevde på flera håll in i det sjunde århundradet. Måltidsgemenskapen utgjorde under kristendomens tidiga år ofta en inkörsport för ickekristna.</w:t>
      </w:r>
      <w:r w:rsidR="002025C6" w:rsidRPr="007B0ED8">
        <w:rPr>
          <w:rStyle w:val="Fotnotsreferens"/>
          <w:rFonts w:ascii="Times New Roman" w:hAnsi="Times New Roman" w:cs="Courier New"/>
          <w:sz w:val="24"/>
          <w:szCs w:val="24"/>
        </w:rPr>
        <w:footnoteReference w:id="62"/>
      </w:r>
    </w:p>
    <w:p w:rsidR="00686084" w:rsidRPr="007B0ED8" w:rsidRDefault="00464296"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I k</w:t>
      </w:r>
      <w:r w:rsidR="00AA732F" w:rsidRPr="007B0ED8">
        <w:rPr>
          <w:rFonts w:ascii="Times New Roman" w:hAnsi="Times New Roman" w:cs="Courier New"/>
          <w:sz w:val="24"/>
          <w:szCs w:val="24"/>
        </w:rPr>
        <w:t>optiskan använd</w:t>
      </w:r>
      <w:r w:rsidRPr="007B0ED8">
        <w:rPr>
          <w:rFonts w:ascii="Times New Roman" w:hAnsi="Times New Roman" w:cs="Courier New"/>
          <w:sz w:val="24"/>
          <w:szCs w:val="24"/>
        </w:rPr>
        <w:t>s</w:t>
      </w:r>
      <w:r w:rsidR="00AA732F" w:rsidRPr="007B0ED8">
        <w:rPr>
          <w:rFonts w:ascii="Times New Roman" w:hAnsi="Times New Roman" w:cs="Courier New"/>
          <w:sz w:val="24"/>
          <w:szCs w:val="24"/>
        </w:rPr>
        <w:t xml:space="preserve"> ofta grekiska lånord, vilket gör det lättare a</w:t>
      </w:r>
      <w:r w:rsidR="00C950A2" w:rsidRPr="007B0ED8">
        <w:rPr>
          <w:rFonts w:ascii="Times New Roman" w:hAnsi="Times New Roman" w:cs="Courier New"/>
          <w:sz w:val="24"/>
          <w:szCs w:val="24"/>
        </w:rPr>
        <w:t>t</w:t>
      </w:r>
      <w:r w:rsidR="00AA732F" w:rsidRPr="007B0ED8">
        <w:rPr>
          <w:rFonts w:ascii="Times New Roman" w:hAnsi="Times New Roman" w:cs="Courier New"/>
          <w:sz w:val="24"/>
          <w:szCs w:val="24"/>
        </w:rPr>
        <w:t xml:space="preserve">t jämföra terminologin </w:t>
      </w:r>
      <w:r w:rsidR="00187BE5" w:rsidRPr="007B0ED8">
        <w:rPr>
          <w:rFonts w:ascii="Times New Roman" w:hAnsi="Times New Roman" w:cs="Courier New"/>
          <w:sz w:val="24"/>
          <w:szCs w:val="24"/>
        </w:rPr>
        <w:t xml:space="preserve">i </w:t>
      </w:r>
      <w:r w:rsidR="00AA732F" w:rsidRPr="007B0ED8">
        <w:rPr>
          <w:rFonts w:ascii="Times New Roman" w:hAnsi="Times New Roman" w:cs="Courier New"/>
          <w:sz w:val="24"/>
          <w:szCs w:val="24"/>
        </w:rPr>
        <w:t>det dokumentära kop</w:t>
      </w:r>
      <w:r w:rsidR="000E3AD2" w:rsidRPr="007B0ED8">
        <w:rPr>
          <w:rFonts w:ascii="Times New Roman" w:hAnsi="Times New Roman" w:cs="Courier New"/>
          <w:sz w:val="24"/>
          <w:szCs w:val="24"/>
        </w:rPr>
        <w:t xml:space="preserve">tiska materialet i Kell. </w:t>
      </w:r>
      <w:proofErr w:type="spellStart"/>
      <w:r w:rsidR="000E3AD2" w:rsidRPr="007B0ED8">
        <w:rPr>
          <w:rFonts w:ascii="Times New Roman" w:hAnsi="Times New Roman" w:cs="Courier New"/>
          <w:sz w:val="24"/>
          <w:szCs w:val="24"/>
        </w:rPr>
        <w:t>Copt</w:t>
      </w:r>
      <w:proofErr w:type="spellEnd"/>
      <w:r w:rsidR="000E3AD2" w:rsidRPr="007B0ED8">
        <w:rPr>
          <w:rFonts w:ascii="Times New Roman" w:hAnsi="Times New Roman" w:cs="Courier New"/>
          <w:sz w:val="24"/>
          <w:szCs w:val="24"/>
        </w:rPr>
        <w:t xml:space="preserve">. </w:t>
      </w:r>
      <w:r w:rsidR="00EC374D" w:rsidRPr="007B0ED8">
        <w:rPr>
          <w:rFonts w:ascii="Times New Roman" w:hAnsi="Times New Roman" w:cs="Courier New"/>
          <w:sz w:val="24"/>
          <w:szCs w:val="24"/>
        </w:rPr>
        <w:t>M</w:t>
      </w:r>
      <w:r w:rsidR="00AA732F" w:rsidRPr="007B0ED8">
        <w:rPr>
          <w:rFonts w:ascii="Times New Roman" w:hAnsi="Times New Roman" w:cs="Courier New"/>
          <w:sz w:val="24"/>
          <w:szCs w:val="24"/>
        </w:rPr>
        <w:t>ed de noteringar av ekonomisk natur som vi finner i KAB.</w:t>
      </w:r>
      <w:r w:rsidR="001A1928" w:rsidRPr="007B0ED8">
        <w:rPr>
          <w:rFonts w:ascii="Times New Roman" w:hAnsi="Times New Roman" w:cs="Courier New"/>
          <w:sz w:val="24"/>
          <w:szCs w:val="24"/>
        </w:rPr>
        <w:t xml:space="preserve"> </w:t>
      </w:r>
    </w:p>
    <w:p w:rsidR="00686084" w:rsidRPr="007B0ED8" w:rsidRDefault="00686084" w:rsidP="00CD45C1">
      <w:pPr>
        <w:autoSpaceDE w:val="0"/>
        <w:autoSpaceDN w:val="0"/>
        <w:adjustRightInd w:val="0"/>
        <w:spacing w:after="0" w:line="240" w:lineRule="auto"/>
        <w:rPr>
          <w:rFonts w:ascii="Times New Roman" w:hAnsi="Times New Roman" w:cs="Courier New"/>
          <w:sz w:val="24"/>
          <w:szCs w:val="24"/>
        </w:rPr>
      </w:pPr>
    </w:p>
    <w:p w:rsidR="00CD45C1" w:rsidRPr="007B0ED8" w:rsidRDefault="001A1928" w:rsidP="00CD45C1">
      <w:pPr>
        <w:autoSpaceDE w:val="0"/>
        <w:autoSpaceDN w:val="0"/>
        <w:adjustRightInd w:val="0"/>
        <w:spacing w:after="0" w:line="240" w:lineRule="auto"/>
        <w:rPr>
          <w:rFonts w:ascii="Times New Roman" w:hAnsi="Times New Roman" w:cs="Courier New"/>
          <w:i/>
          <w:sz w:val="24"/>
          <w:szCs w:val="24"/>
        </w:rPr>
      </w:pPr>
      <w:r w:rsidRPr="007B0ED8">
        <w:rPr>
          <w:rFonts w:ascii="Times New Roman" w:hAnsi="Times New Roman" w:cs="Courier New"/>
          <w:sz w:val="24"/>
          <w:szCs w:val="24"/>
        </w:rPr>
        <w:t xml:space="preserve">Troligtvis författades </w:t>
      </w:r>
      <w:r w:rsidR="001D1B22" w:rsidRPr="007B0ED8">
        <w:rPr>
          <w:rFonts w:ascii="Times New Roman" w:hAnsi="Times New Roman" w:cs="Courier New"/>
          <w:sz w:val="24"/>
          <w:szCs w:val="24"/>
        </w:rPr>
        <w:t xml:space="preserve">detta grekiskspråkiga verk under 360-talet </w:t>
      </w:r>
      <w:r w:rsidRPr="007B0ED8">
        <w:rPr>
          <w:rFonts w:ascii="Times New Roman" w:hAnsi="Times New Roman" w:cs="Courier New"/>
          <w:sz w:val="24"/>
          <w:szCs w:val="24"/>
        </w:rPr>
        <w:t xml:space="preserve">av en person som var ansvarig för att se till att </w:t>
      </w:r>
      <w:r w:rsidR="00BA43A4" w:rsidRPr="007B0ED8">
        <w:rPr>
          <w:rFonts w:ascii="Times New Roman" w:hAnsi="Times New Roman" w:cs="Courier New"/>
          <w:sz w:val="24"/>
          <w:szCs w:val="24"/>
        </w:rPr>
        <w:t xml:space="preserve">arrenden </w:t>
      </w:r>
      <w:r w:rsidRPr="007B0ED8">
        <w:rPr>
          <w:rFonts w:ascii="Times New Roman" w:hAnsi="Times New Roman" w:cs="Courier New"/>
          <w:sz w:val="24"/>
          <w:szCs w:val="24"/>
        </w:rPr>
        <w:t>verkligen betalde</w:t>
      </w:r>
      <w:r w:rsidR="00BA43A4" w:rsidRPr="007B0ED8">
        <w:rPr>
          <w:rFonts w:ascii="Times New Roman" w:hAnsi="Times New Roman" w:cs="Courier New"/>
          <w:sz w:val="24"/>
          <w:szCs w:val="24"/>
        </w:rPr>
        <w:t>s</w:t>
      </w:r>
      <w:r w:rsidRPr="007B0ED8">
        <w:rPr>
          <w:rFonts w:ascii="Times New Roman" w:hAnsi="Times New Roman" w:cs="Courier New"/>
          <w:sz w:val="24"/>
          <w:szCs w:val="24"/>
        </w:rPr>
        <w:t xml:space="preserve"> i god ordning.</w:t>
      </w:r>
      <w:r w:rsidRPr="007B0ED8">
        <w:rPr>
          <w:rStyle w:val="Fotnotsreferens"/>
          <w:rFonts w:ascii="Times New Roman" w:hAnsi="Times New Roman" w:cs="Courier New"/>
          <w:sz w:val="24"/>
          <w:szCs w:val="24"/>
        </w:rPr>
        <w:footnoteReference w:id="63"/>
      </w:r>
      <w:r w:rsidR="00BA43A4" w:rsidRPr="007B0ED8">
        <w:rPr>
          <w:rFonts w:ascii="Times New Roman" w:hAnsi="Times New Roman" w:cs="Courier New"/>
          <w:sz w:val="24"/>
          <w:szCs w:val="24"/>
        </w:rPr>
        <w:t xml:space="preserve"> </w:t>
      </w:r>
      <w:r w:rsidR="004C3C5D" w:rsidRPr="007B0ED8">
        <w:rPr>
          <w:rFonts w:ascii="Times New Roman" w:hAnsi="Times New Roman" w:cs="Courier New"/>
          <w:sz w:val="24"/>
          <w:szCs w:val="24"/>
        </w:rPr>
        <w:t>Det finns goda skäl att anta att arrendatorerna skulle producera stora kvantiteter oliver som under 300-talet var en viktig exportvara till Nildalen och andra platser.</w:t>
      </w:r>
      <w:r w:rsidR="004C3C5D" w:rsidRPr="007B0ED8">
        <w:rPr>
          <w:rStyle w:val="Fotnotsreferens"/>
          <w:rFonts w:ascii="Times New Roman" w:hAnsi="Times New Roman" w:cs="Courier New"/>
          <w:sz w:val="24"/>
          <w:szCs w:val="24"/>
        </w:rPr>
        <w:footnoteReference w:id="64"/>
      </w:r>
      <w:r w:rsidR="0078514A" w:rsidRPr="007B0ED8">
        <w:rPr>
          <w:rFonts w:ascii="Times New Roman" w:hAnsi="Times New Roman" w:cs="Courier New"/>
          <w:sz w:val="24"/>
          <w:szCs w:val="24"/>
        </w:rPr>
        <w:t xml:space="preserve">  I detta sammanhang är det värt a</w:t>
      </w:r>
      <w:r w:rsidR="00CC4E6B" w:rsidRPr="007B0ED8">
        <w:rPr>
          <w:rFonts w:ascii="Times New Roman" w:hAnsi="Times New Roman" w:cs="Courier New"/>
          <w:sz w:val="24"/>
          <w:szCs w:val="24"/>
        </w:rPr>
        <w:t>t</w:t>
      </w:r>
      <w:r w:rsidR="0078514A" w:rsidRPr="007B0ED8">
        <w:rPr>
          <w:rFonts w:ascii="Times New Roman" w:hAnsi="Times New Roman" w:cs="Courier New"/>
          <w:sz w:val="24"/>
          <w:szCs w:val="24"/>
        </w:rPr>
        <w:t>t notera a</w:t>
      </w:r>
      <w:r w:rsidR="00C16503" w:rsidRPr="007B0ED8">
        <w:rPr>
          <w:rFonts w:ascii="Times New Roman" w:hAnsi="Times New Roman" w:cs="Courier New"/>
          <w:sz w:val="24"/>
          <w:szCs w:val="24"/>
        </w:rPr>
        <w:t>t</w:t>
      </w:r>
      <w:r w:rsidR="0078514A" w:rsidRPr="007B0ED8">
        <w:rPr>
          <w:rFonts w:ascii="Times New Roman" w:hAnsi="Times New Roman" w:cs="Courier New"/>
          <w:sz w:val="24"/>
          <w:szCs w:val="24"/>
        </w:rPr>
        <w:t xml:space="preserve">t det i KAB 320 och 513 talas om att </w:t>
      </w:r>
      <w:proofErr w:type="spellStart"/>
      <w:r w:rsidR="0078514A" w:rsidRPr="007B0ED8">
        <w:rPr>
          <w:rFonts w:ascii="Times New Roman" w:hAnsi="Times New Roman" w:cs="Courier New"/>
          <w:i/>
          <w:sz w:val="24"/>
          <w:szCs w:val="24"/>
        </w:rPr>
        <w:t>topos</w:t>
      </w:r>
      <w:proofErr w:type="spellEnd"/>
      <w:r w:rsidR="0078514A" w:rsidRPr="007B0ED8">
        <w:rPr>
          <w:rFonts w:ascii="Times New Roman" w:hAnsi="Times New Roman" w:cs="Courier New"/>
          <w:i/>
          <w:sz w:val="24"/>
          <w:szCs w:val="24"/>
        </w:rPr>
        <w:t xml:space="preserve"> </w:t>
      </w:r>
      <w:r w:rsidR="00C16503" w:rsidRPr="007B0ED8">
        <w:rPr>
          <w:rFonts w:ascii="Times New Roman" w:hAnsi="Times New Roman" w:cs="Courier New"/>
          <w:i/>
          <w:sz w:val="24"/>
          <w:szCs w:val="24"/>
        </w:rPr>
        <w:t>M</w:t>
      </w:r>
      <w:r w:rsidR="0078514A" w:rsidRPr="007B0ED8">
        <w:rPr>
          <w:rFonts w:ascii="Times New Roman" w:hAnsi="Times New Roman" w:cs="Courier New"/>
          <w:i/>
          <w:sz w:val="24"/>
          <w:szCs w:val="24"/>
        </w:rPr>
        <w:t>ani</w:t>
      </w:r>
      <w:r w:rsidR="00C16503" w:rsidRPr="007B0ED8">
        <w:rPr>
          <w:rFonts w:ascii="Times New Roman" w:hAnsi="Times New Roman" w:cs="Courier New"/>
          <w:i/>
          <w:sz w:val="24"/>
          <w:szCs w:val="24"/>
        </w:rPr>
        <w:t xml:space="preserve"> </w:t>
      </w:r>
      <w:r w:rsidR="0078514A" w:rsidRPr="007B0ED8">
        <w:rPr>
          <w:rFonts w:ascii="Times New Roman" w:hAnsi="Times New Roman" w:cs="Courier New"/>
          <w:sz w:val="24"/>
          <w:szCs w:val="24"/>
        </w:rPr>
        <w:t>är skyldig a</w:t>
      </w:r>
      <w:r w:rsidR="00C16503" w:rsidRPr="007B0ED8">
        <w:rPr>
          <w:rFonts w:ascii="Times New Roman" w:hAnsi="Times New Roman" w:cs="Courier New"/>
          <w:sz w:val="24"/>
          <w:szCs w:val="24"/>
        </w:rPr>
        <w:t>t</w:t>
      </w:r>
      <w:r w:rsidR="0078514A" w:rsidRPr="007B0ED8">
        <w:rPr>
          <w:rFonts w:ascii="Times New Roman" w:hAnsi="Times New Roman" w:cs="Courier New"/>
          <w:sz w:val="24"/>
          <w:szCs w:val="24"/>
        </w:rPr>
        <w:t xml:space="preserve">t </w:t>
      </w:r>
      <w:proofErr w:type="gramStart"/>
      <w:r w:rsidR="0078514A" w:rsidRPr="007B0ED8">
        <w:rPr>
          <w:rFonts w:ascii="Times New Roman" w:hAnsi="Times New Roman" w:cs="Courier New"/>
          <w:sz w:val="24"/>
          <w:szCs w:val="24"/>
        </w:rPr>
        <w:t>erlägga</w:t>
      </w:r>
      <w:proofErr w:type="gramEnd"/>
      <w:r w:rsidR="00C16503" w:rsidRPr="007B0ED8">
        <w:rPr>
          <w:rFonts w:ascii="Times New Roman" w:hAnsi="Times New Roman" w:cs="Courier New"/>
          <w:sz w:val="24"/>
          <w:szCs w:val="24"/>
        </w:rPr>
        <w:t xml:space="preserve"> betalni</w:t>
      </w:r>
      <w:r w:rsidR="0078514A" w:rsidRPr="007B0ED8">
        <w:rPr>
          <w:rFonts w:ascii="Times New Roman" w:hAnsi="Times New Roman" w:cs="Courier New"/>
          <w:sz w:val="24"/>
          <w:szCs w:val="24"/>
        </w:rPr>
        <w:t>ng</w:t>
      </w:r>
      <w:r w:rsidR="0078514A" w:rsidRPr="007B0ED8">
        <w:rPr>
          <w:rFonts w:ascii="Times New Roman" w:hAnsi="Times New Roman" w:cs="Courier New"/>
          <w:i/>
          <w:sz w:val="24"/>
          <w:szCs w:val="24"/>
        </w:rPr>
        <w:t xml:space="preserve"> </w:t>
      </w:r>
      <w:r w:rsidR="0078514A" w:rsidRPr="007B0ED8">
        <w:rPr>
          <w:rFonts w:ascii="Times New Roman" w:hAnsi="Times New Roman" w:cs="Courier New"/>
          <w:sz w:val="24"/>
          <w:szCs w:val="24"/>
        </w:rPr>
        <w:t xml:space="preserve">i form av oliver </w:t>
      </w:r>
      <w:r w:rsidR="00C16503" w:rsidRPr="007B0ED8">
        <w:rPr>
          <w:rFonts w:ascii="Times New Roman" w:hAnsi="Times New Roman" w:cs="Courier New"/>
          <w:sz w:val="24"/>
          <w:szCs w:val="24"/>
        </w:rPr>
        <w:t>som arrende</w:t>
      </w:r>
      <w:r w:rsidR="0078514A" w:rsidRPr="007B0ED8">
        <w:rPr>
          <w:rFonts w:ascii="Times New Roman" w:hAnsi="Times New Roman" w:cs="Courier New"/>
          <w:sz w:val="24"/>
          <w:szCs w:val="24"/>
        </w:rPr>
        <w:t>.</w:t>
      </w:r>
      <w:r w:rsidR="00C16503" w:rsidRPr="007B0ED8">
        <w:rPr>
          <w:rFonts w:ascii="Times New Roman" w:hAnsi="Times New Roman" w:cs="Courier New"/>
          <w:sz w:val="24"/>
          <w:szCs w:val="24"/>
        </w:rPr>
        <w:t xml:space="preserve"> På </w:t>
      </w:r>
      <w:proofErr w:type="spellStart"/>
      <w:r w:rsidR="00C16503" w:rsidRPr="007B0ED8">
        <w:rPr>
          <w:rFonts w:ascii="Times New Roman" w:hAnsi="Times New Roman" w:cs="Courier New"/>
          <w:sz w:val="24"/>
          <w:szCs w:val="24"/>
        </w:rPr>
        <w:t>byzantinskt</w:t>
      </w:r>
      <w:proofErr w:type="spellEnd"/>
      <w:r w:rsidR="00C16503" w:rsidRPr="007B0ED8">
        <w:rPr>
          <w:rFonts w:ascii="Times New Roman" w:hAnsi="Times New Roman" w:cs="Courier New"/>
          <w:sz w:val="24"/>
          <w:szCs w:val="24"/>
        </w:rPr>
        <w:t xml:space="preserve"> område är termen </w:t>
      </w:r>
      <w:proofErr w:type="spellStart"/>
      <w:r w:rsidR="00C16503" w:rsidRPr="007B0ED8">
        <w:rPr>
          <w:rFonts w:ascii="Times New Roman" w:hAnsi="Times New Roman" w:cs="Courier New"/>
          <w:i/>
          <w:sz w:val="24"/>
          <w:szCs w:val="24"/>
        </w:rPr>
        <w:t>topos</w:t>
      </w:r>
      <w:proofErr w:type="spellEnd"/>
      <w:r w:rsidR="00C16503" w:rsidRPr="007B0ED8">
        <w:rPr>
          <w:rFonts w:ascii="Times New Roman" w:hAnsi="Times New Roman" w:cs="Courier New"/>
          <w:sz w:val="24"/>
          <w:szCs w:val="24"/>
        </w:rPr>
        <w:t xml:space="preserve"> vanlig i betydelsen av kloster och än vanligare är detta språkbruk i koptiskan.</w:t>
      </w:r>
      <w:r w:rsidR="00187BE5" w:rsidRPr="007B0ED8">
        <w:rPr>
          <w:rStyle w:val="Fotnotsreferens"/>
          <w:rFonts w:ascii="Times New Roman" w:hAnsi="Times New Roman" w:cs="Courier New"/>
          <w:sz w:val="24"/>
          <w:szCs w:val="24"/>
        </w:rPr>
        <w:footnoteReference w:id="65"/>
      </w:r>
      <w:r w:rsidR="00C16503" w:rsidRPr="007B0ED8">
        <w:rPr>
          <w:rFonts w:ascii="Times New Roman" w:hAnsi="Times New Roman" w:cs="Courier New"/>
          <w:sz w:val="24"/>
          <w:szCs w:val="24"/>
        </w:rPr>
        <w:t xml:space="preserve"> </w:t>
      </w:r>
      <w:r w:rsidR="00143E84" w:rsidRPr="007B0ED8">
        <w:rPr>
          <w:rFonts w:ascii="Times New Roman" w:hAnsi="Times New Roman" w:cs="Courier New"/>
          <w:sz w:val="24"/>
          <w:szCs w:val="24"/>
        </w:rPr>
        <w:t>Hypotesen att det är fråga om ett kloster styrks också av att munken (</w:t>
      </w:r>
      <w:proofErr w:type="spellStart"/>
      <w:r w:rsidR="00143E84" w:rsidRPr="007B0ED8">
        <w:rPr>
          <w:rFonts w:ascii="Times New Roman" w:hAnsi="Times New Roman" w:cs="Courier New"/>
          <w:i/>
          <w:sz w:val="24"/>
          <w:szCs w:val="24"/>
        </w:rPr>
        <w:t>monachos</w:t>
      </w:r>
      <w:proofErr w:type="spellEnd"/>
      <w:r w:rsidR="00143E84" w:rsidRPr="007B0ED8">
        <w:rPr>
          <w:rFonts w:ascii="Times New Roman" w:hAnsi="Times New Roman" w:cs="Courier New"/>
          <w:sz w:val="24"/>
          <w:szCs w:val="24"/>
        </w:rPr>
        <w:t xml:space="preserve">) </w:t>
      </w:r>
      <w:proofErr w:type="spellStart"/>
      <w:r w:rsidR="00143E84" w:rsidRPr="007B0ED8">
        <w:rPr>
          <w:rFonts w:ascii="Times New Roman" w:hAnsi="Times New Roman" w:cs="Courier New"/>
          <w:sz w:val="24"/>
          <w:szCs w:val="24"/>
        </w:rPr>
        <w:t>Petros</w:t>
      </w:r>
      <w:proofErr w:type="spellEnd"/>
      <w:r w:rsidR="00143E84" w:rsidRPr="007B0ED8">
        <w:rPr>
          <w:rFonts w:ascii="Times New Roman" w:hAnsi="Times New Roman" w:cs="Courier New"/>
          <w:sz w:val="24"/>
          <w:szCs w:val="24"/>
        </w:rPr>
        <w:t xml:space="preserve"> betalar skulder för </w:t>
      </w:r>
      <w:proofErr w:type="spellStart"/>
      <w:r w:rsidR="00143E84" w:rsidRPr="007B0ED8">
        <w:rPr>
          <w:rFonts w:ascii="Times New Roman" w:hAnsi="Times New Roman" w:cs="Courier New"/>
          <w:i/>
          <w:sz w:val="24"/>
          <w:szCs w:val="24"/>
        </w:rPr>
        <w:t>topos</w:t>
      </w:r>
      <w:proofErr w:type="spellEnd"/>
      <w:r w:rsidR="00143E84" w:rsidRPr="007B0ED8">
        <w:rPr>
          <w:rFonts w:ascii="Times New Roman" w:hAnsi="Times New Roman" w:cs="Courier New"/>
          <w:i/>
          <w:sz w:val="24"/>
          <w:szCs w:val="24"/>
        </w:rPr>
        <w:t xml:space="preserve"> Mani</w:t>
      </w:r>
      <w:r w:rsidR="00143E84" w:rsidRPr="007B0ED8">
        <w:rPr>
          <w:rFonts w:ascii="Times New Roman" w:hAnsi="Times New Roman" w:cs="Courier New"/>
          <w:sz w:val="24"/>
          <w:szCs w:val="24"/>
        </w:rPr>
        <w:t xml:space="preserve"> </w:t>
      </w:r>
      <w:r w:rsidR="004A4D95" w:rsidRPr="007B0ED8">
        <w:rPr>
          <w:rFonts w:ascii="Times New Roman" w:hAnsi="Times New Roman" w:cs="Courier New"/>
          <w:sz w:val="24"/>
          <w:szCs w:val="24"/>
        </w:rPr>
        <w:t xml:space="preserve">i </w:t>
      </w:r>
      <w:r w:rsidR="00143E84" w:rsidRPr="007B0ED8">
        <w:rPr>
          <w:rFonts w:ascii="Times New Roman" w:hAnsi="Times New Roman" w:cs="Courier New"/>
          <w:sz w:val="24"/>
          <w:szCs w:val="24"/>
        </w:rPr>
        <w:t xml:space="preserve">KAB. 975 och </w:t>
      </w:r>
      <w:r w:rsidR="004A4D95" w:rsidRPr="007B0ED8">
        <w:rPr>
          <w:rFonts w:ascii="Times New Roman" w:hAnsi="Times New Roman" w:cs="Courier New"/>
          <w:sz w:val="24"/>
          <w:szCs w:val="24"/>
        </w:rPr>
        <w:t>1</w:t>
      </w:r>
      <w:r w:rsidR="00143E84" w:rsidRPr="007B0ED8">
        <w:rPr>
          <w:rFonts w:ascii="Times New Roman" w:hAnsi="Times New Roman" w:cs="Courier New"/>
          <w:sz w:val="24"/>
          <w:szCs w:val="24"/>
        </w:rPr>
        <w:t xml:space="preserve">433. </w:t>
      </w:r>
      <w:r w:rsidR="001D1B22" w:rsidRPr="007B0ED8">
        <w:rPr>
          <w:rFonts w:ascii="Times New Roman" w:hAnsi="Times New Roman" w:cs="Courier New"/>
          <w:sz w:val="24"/>
          <w:szCs w:val="24"/>
        </w:rPr>
        <w:t>Även om man i grekiskt material vanligtvis omtalar Mani som Manichaios finner jag det ändå mest troligt att Mani i KAB syftar på den religiöse ledaren. Det är helt enkelt svårt at</w:t>
      </w:r>
      <w:r w:rsidR="00F04DC1" w:rsidRPr="007B0ED8">
        <w:rPr>
          <w:rFonts w:ascii="Times New Roman" w:hAnsi="Times New Roman" w:cs="Courier New"/>
          <w:sz w:val="24"/>
          <w:szCs w:val="24"/>
        </w:rPr>
        <w:t>t</w:t>
      </w:r>
      <w:r w:rsidR="001D1B22" w:rsidRPr="007B0ED8">
        <w:rPr>
          <w:rFonts w:ascii="Times New Roman" w:hAnsi="Times New Roman" w:cs="Courier New"/>
          <w:sz w:val="24"/>
          <w:szCs w:val="24"/>
        </w:rPr>
        <w:t xml:space="preserve"> föreslå en annan tolkning av ordet </w:t>
      </w:r>
      <w:r w:rsidR="007160F7" w:rsidRPr="007B0ED8">
        <w:rPr>
          <w:rFonts w:ascii="Times New Roman" w:hAnsi="Times New Roman" w:cs="Courier New"/>
          <w:i/>
          <w:sz w:val="24"/>
          <w:szCs w:val="24"/>
        </w:rPr>
        <w:t>M</w:t>
      </w:r>
      <w:r w:rsidR="001D1B22" w:rsidRPr="007B0ED8">
        <w:rPr>
          <w:rFonts w:ascii="Times New Roman" w:hAnsi="Times New Roman" w:cs="Courier New"/>
          <w:i/>
          <w:sz w:val="24"/>
          <w:szCs w:val="24"/>
        </w:rPr>
        <w:t>ani</w:t>
      </w:r>
      <w:r w:rsidR="007160F7" w:rsidRPr="007B0ED8">
        <w:rPr>
          <w:rFonts w:ascii="Times New Roman" w:hAnsi="Times New Roman" w:cs="Courier New"/>
          <w:i/>
          <w:sz w:val="24"/>
          <w:szCs w:val="24"/>
        </w:rPr>
        <w:t xml:space="preserve"> </w:t>
      </w:r>
      <w:r w:rsidR="007160F7" w:rsidRPr="007B0ED8">
        <w:rPr>
          <w:rFonts w:ascii="Times New Roman" w:hAnsi="Times New Roman" w:cs="Courier New"/>
          <w:sz w:val="24"/>
          <w:szCs w:val="24"/>
        </w:rPr>
        <w:t>i</w:t>
      </w:r>
      <w:r w:rsidR="00F04DC1" w:rsidRPr="007B0ED8">
        <w:rPr>
          <w:rFonts w:ascii="Times New Roman" w:hAnsi="Times New Roman" w:cs="Courier New"/>
          <w:i/>
          <w:sz w:val="24"/>
          <w:szCs w:val="24"/>
        </w:rPr>
        <w:t xml:space="preserve"> </w:t>
      </w:r>
      <w:proofErr w:type="spellStart"/>
      <w:r w:rsidR="007160F7" w:rsidRPr="007B0ED8">
        <w:rPr>
          <w:rFonts w:ascii="Times New Roman" w:hAnsi="Times New Roman" w:cs="Courier New"/>
          <w:sz w:val="24"/>
          <w:szCs w:val="24"/>
        </w:rPr>
        <w:t>topos</w:t>
      </w:r>
      <w:proofErr w:type="spellEnd"/>
      <w:r w:rsidR="007160F7" w:rsidRPr="007B0ED8">
        <w:rPr>
          <w:rFonts w:ascii="Times New Roman" w:hAnsi="Times New Roman" w:cs="Courier New"/>
          <w:sz w:val="24"/>
          <w:szCs w:val="24"/>
        </w:rPr>
        <w:t xml:space="preserve"> mani</w:t>
      </w:r>
      <w:r w:rsidR="007160F7" w:rsidRPr="007B0ED8">
        <w:rPr>
          <w:rFonts w:ascii="Times New Roman" w:hAnsi="Times New Roman" w:cs="Courier New"/>
          <w:i/>
          <w:sz w:val="24"/>
          <w:szCs w:val="24"/>
        </w:rPr>
        <w:t xml:space="preserve"> </w:t>
      </w:r>
      <w:r w:rsidR="00F04DC1" w:rsidRPr="007B0ED8">
        <w:rPr>
          <w:rFonts w:ascii="Times New Roman" w:hAnsi="Times New Roman" w:cs="Courier New"/>
          <w:i/>
          <w:sz w:val="24"/>
          <w:szCs w:val="24"/>
        </w:rPr>
        <w:t>i KAB</w:t>
      </w:r>
      <w:r w:rsidR="007160F7" w:rsidRPr="007B0ED8">
        <w:rPr>
          <w:rFonts w:ascii="Times New Roman" w:hAnsi="Times New Roman" w:cs="Courier New"/>
          <w:i/>
          <w:sz w:val="24"/>
          <w:szCs w:val="24"/>
        </w:rPr>
        <w:t xml:space="preserve"> än Manis kloster</w:t>
      </w:r>
      <w:r w:rsidR="00CD45C1" w:rsidRPr="007B0ED8">
        <w:rPr>
          <w:rFonts w:ascii="Times New Roman" w:hAnsi="Times New Roman" w:cs="Courier New"/>
          <w:i/>
          <w:sz w:val="24"/>
          <w:szCs w:val="24"/>
        </w:rPr>
        <w:t>.</w:t>
      </w:r>
    </w:p>
    <w:p w:rsidR="006E6A0F" w:rsidRPr="007B0ED8" w:rsidRDefault="006E6A0F" w:rsidP="00CD45C1">
      <w:pPr>
        <w:autoSpaceDE w:val="0"/>
        <w:autoSpaceDN w:val="0"/>
        <w:adjustRightInd w:val="0"/>
        <w:spacing w:after="0" w:line="240" w:lineRule="auto"/>
        <w:rPr>
          <w:rFonts w:ascii="Times New Roman" w:hAnsi="Times New Roman" w:cs="Courier New"/>
          <w:i/>
          <w:sz w:val="24"/>
          <w:szCs w:val="24"/>
        </w:rPr>
      </w:pPr>
    </w:p>
    <w:p w:rsidR="003E5ABA" w:rsidRPr="007B0ED8" w:rsidRDefault="007160F7"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i/>
          <w:sz w:val="24"/>
          <w:szCs w:val="24"/>
        </w:rPr>
        <w:t>Agape</w:t>
      </w:r>
      <w:r w:rsidRPr="007B0ED8">
        <w:rPr>
          <w:rFonts w:ascii="Times New Roman" w:hAnsi="Times New Roman" w:cs="Courier New"/>
          <w:sz w:val="24"/>
          <w:szCs w:val="24"/>
        </w:rPr>
        <w:t xml:space="preserve"> återfinn</w:t>
      </w:r>
      <w:r w:rsidR="00F635BA" w:rsidRPr="007B0ED8">
        <w:rPr>
          <w:rFonts w:ascii="Times New Roman" w:hAnsi="Times New Roman" w:cs="Courier New"/>
          <w:sz w:val="24"/>
          <w:szCs w:val="24"/>
        </w:rPr>
        <w:t>s årligen i KAB.</w:t>
      </w:r>
      <w:r w:rsidR="002B579F" w:rsidRPr="007B0ED8">
        <w:rPr>
          <w:rFonts w:ascii="Times New Roman" w:hAnsi="Times New Roman" w:cs="Courier New"/>
          <w:sz w:val="24"/>
          <w:szCs w:val="24"/>
        </w:rPr>
        <w:t xml:space="preserve"> De utgifter som knyts till </w:t>
      </w:r>
      <w:r w:rsidR="002B579F" w:rsidRPr="007B0ED8">
        <w:rPr>
          <w:rFonts w:ascii="Times New Roman" w:hAnsi="Times New Roman" w:cs="Courier New"/>
          <w:i/>
          <w:sz w:val="24"/>
          <w:szCs w:val="24"/>
        </w:rPr>
        <w:t>agape</w:t>
      </w:r>
      <w:r w:rsidR="002B579F" w:rsidRPr="007B0ED8">
        <w:rPr>
          <w:rFonts w:ascii="Times New Roman" w:hAnsi="Times New Roman" w:cs="Courier New"/>
          <w:sz w:val="24"/>
          <w:szCs w:val="24"/>
        </w:rPr>
        <w:t xml:space="preserve"> relateras oftast till vete, men även till vin, korn och ost.</w:t>
      </w:r>
      <w:r w:rsidR="002B579F" w:rsidRPr="007B0ED8">
        <w:rPr>
          <w:rStyle w:val="Fotnotsreferens"/>
          <w:rFonts w:ascii="Times New Roman" w:hAnsi="Times New Roman" w:cs="Courier New"/>
          <w:sz w:val="24"/>
          <w:szCs w:val="24"/>
        </w:rPr>
        <w:footnoteReference w:id="66"/>
      </w:r>
      <w:r w:rsidR="00521A51" w:rsidRPr="007B0ED8">
        <w:rPr>
          <w:rFonts w:ascii="Times New Roman" w:hAnsi="Times New Roman" w:cs="Courier New"/>
          <w:sz w:val="24"/>
          <w:szCs w:val="24"/>
        </w:rPr>
        <w:t xml:space="preserve"> </w:t>
      </w:r>
      <w:r w:rsidR="00330218" w:rsidRPr="007B0ED8">
        <w:rPr>
          <w:rFonts w:ascii="Times New Roman" w:hAnsi="Times New Roman" w:cs="Courier New"/>
          <w:sz w:val="24"/>
          <w:szCs w:val="24"/>
        </w:rPr>
        <w:t>För oss är det särskilt intress</w:t>
      </w:r>
      <w:r w:rsidR="00EC6A68" w:rsidRPr="007B0ED8">
        <w:rPr>
          <w:rFonts w:ascii="Times New Roman" w:hAnsi="Times New Roman" w:cs="Courier New"/>
          <w:sz w:val="24"/>
          <w:szCs w:val="24"/>
        </w:rPr>
        <w:t>an</w:t>
      </w:r>
      <w:r w:rsidR="009343DC" w:rsidRPr="007B0ED8">
        <w:rPr>
          <w:rFonts w:ascii="Times New Roman" w:hAnsi="Times New Roman" w:cs="Courier New"/>
          <w:sz w:val="24"/>
          <w:szCs w:val="24"/>
        </w:rPr>
        <w:t>t att notera att d</w:t>
      </w:r>
      <w:r w:rsidR="00330218" w:rsidRPr="007B0ED8">
        <w:rPr>
          <w:rFonts w:ascii="Times New Roman" w:hAnsi="Times New Roman" w:cs="Courier New"/>
          <w:sz w:val="24"/>
          <w:szCs w:val="24"/>
        </w:rPr>
        <w:t>en stora majoriteten av transaktioner som kan dateras härrör till påsktid eller till månaderna närmast dessförinnan.</w:t>
      </w:r>
      <w:r w:rsidR="00330218" w:rsidRPr="007B0ED8">
        <w:rPr>
          <w:rStyle w:val="Fotnotsreferens"/>
          <w:rFonts w:ascii="Times New Roman" w:hAnsi="Times New Roman" w:cs="Courier New"/>
          <w:sz w:val="24"/>
          <w:szCs w:val="24"/>
        </w:rPr>
        <w:footnoteReference w:id="67"/>
      </w:r>
      <w:r w:rsidR="002C4F08" w:rsidRPr="007B0ED8">
        <w:rPr>
          <w:rFonts w:ascii="Times New Roman" w:hAnsi="Times New Roman" w:cs="Courier New"/>
          <w:sz w:val="24"/>
          <w:szCs w:val="24"/>
        </w:rPr>
        <w:t xml:space="preserve"> Det gör att jag är benägen att tolka de personnamn som ibland knyts till </w:t>
      </w:r>
      <w:r w:rsidR="002C4F08" w:rsidRPr="007B0ED8">
        <w:rPr>
          <w:rFonts w:ascii="Times New Roman" w:hAnsi="Times New Roman" w:cs="Courier New"/>
          <w:i/>
          <w:sz w:val="24"/>
          <w:szCs w:val="24"/>
        </w:rPr>
        <w:t>agape</w:t>
      </w:r>
      <w:r w:rsidR="002C4F08" w:rsidRPr="007B0ED8">
        <w:rPr>
          <w:rFonts w:ascii="Times New Roman" w:hAnsi="Times New Roman" w:cs="Courier New"/>
          <w:sz w:val="24"/>
          <w:szCs w:val="24"/>
        </w:rPr>
        <w:t xml:space="preserve"> i KAB som sponsorer för agapefesten. Alternativet vore att tolka festligheterna som firanden av p</w:t>
      </w:r>
      <w:r w:rsidR="003E5ABA" w:rsidRPr="007B0ED8">
        <w:rPr>
          <w:rFonts w:ascii="Times New Roman" w:hAnsi="Times New Roman" w:cs="Courier New"/>
          <w:sz w:val="24"/>
          <w:szCs w:val="24"/>
        </w:rPr>
        <w:t>ersonlig</w:t>
      </w:r>
      <w:r w:rsidR="00D26B46" w:rsidRPr="007B0ED8">
        <w:rPr>
          <w:rFonts w:ascii="Times New Roman" w:hAnsi="Times New Roman" w:cs="Courier New"/>
          <w:sz w:val="24"/>
          <w:szCs w:val="24"/>
        </w:rPr>
        <w:t>a</w:t>
      </w:r>
      <w:r w:rsidR="003E5ABA" w:rsidRPr="007B0ED8">
        <w:rPr>
          <w:rFonts w:ascii="Times New Roman" w:hAnsi="Times New Roman" w:cs="Courier New"/>
          <w:sz w:val="24"/>
          <w:szCs w:val="24"/>
        </w:rPr>
        <w:t xml:space="preserve"> </w:t>
      </w:r>
      <w:r w:rsidR="002C4F08" w:rsidRPr="007B0ED8">
        <w:rPr>
          <w:rFonts w:ascii="Times New Roman" w:hAnsi="Times New Roman" w:cs="Courier New"/>
          <w:sz w:val="24"/>
          <w:szCs w:val="24"/>
        </w:rPr>
        <w:t>angelägenheter. Men då borde vi vänta oss en större variation i dateringen av festligheterna.</w:t>
      </w:r>
    </w:p>
    <w:p w:rsidR="00744007" w:rsidRPr="007B0ED8" w:rsidRDefault="00744007" w:rsidP="00CD45C1">
      <w:pPr>
        <w:autoSpaceDE w:val="0"/>
        <w:autoSpaceDN w:val="0"/>
        <w:adjustRightInd w:val="0"/>
        <w:spacing w:after="0" w:line="240" w:lineRule="auto"/>
        <w:rPr>
          <w:rFonts w:ascii="Times New Roman" w:hAnsi="Times New Roman" w:cs="Courier New"/>
          <w:i/>
          <w:sz w:val="24"/>
          <w:szCs w:val="24"/>
        </w:rPr>
      </w:pPr>
    </w:p>
    <w:p w:rsidR="00E61BED" w:rsidRPr="007B0ED8" w:rsidRDefault="003E5ABA"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i/>
          <w:sz w:val="24"/>
          <w:szCs w:val="24"/>
        </w:rPr>
        <w:t>Agape</w:t>
      </w:r>
      <w:r w:rsidRPr="007B0ED8">
        <w:rPr>
          <w:rFonts w:ascii="Times New Roman" w:hAnsi="Times New Roman" w:cs="Courier New"/>
          <w:sz w:val="24"/>
          <w:szCs w:val="24"/>
        </w:rPr>
        <w:t xml:space="preserve"> förekommer även </w:t>
      </w:r>
      <w:r w:rsidR="00116048" w:rsidRPr="007B0ED8">
        <w:rPr>
          <w:rFonts w:ascii="Times New Roman" w:hAnsi="Times New Roman" w:cs="Courier New"/>
          <w:sz w:val="24"/>
          <w:szCs w:val="24"/>
        </w:rPr>
        <w:t xml:space="preserve">på flera ställen </w:t>
      </w:r>
      <w:r w:rsidRPr="007B0ED8">
        <w:rPr>
          <w:rFonts w:ascii="Times New Roman" w:hAnsi="Times New Roman" w:cs="Courier New"/>
          <w:sz w:val="24"/>
          <w:szCs w:val="24"/>
        </w:rPr>
        <w:t xml:space="preserve">i Kell. </w:t>
      </w:r>
      <w:proofErr w:type="spellStart"/>
      <w:r w:rsidRPr="007B0ED8">
        <w:rPr>
          <w:rFonts w:ascii="Times New Roman" w:hAnsi="Times New Roman" w:cs="Courier New"/>
          <w:sz w:val="24"/>
          <w:szCs w:val="24"/>
        </w:rPr>
        <w:t>Copt</w:t>
      </w:r>
      <w:proofErr w:type="spellEnd"/>
      <w:r w:rsidRPr="007B0ED8">
        <w:rPr>
          <w:rFonts w:ascii="Times New Roman" w:hAnsi="Times New Roman" w:cs="Courier New"/>
          <w:sz w:val="24"/>
          <w:szCs w:val="24"/>
        </w:rPr>
        <w:t>.</w:t>
      </w:r>
      <w:r w:rsidR="00116048" w:rsidRPr="007B0ED8">
        <w:rPr>
          <w:rFonts w:ascii="Times New Roman" w:hAnsi="Times New Roman" w:cs="Courier New"/>
          <w:sz w:val="24"/>
          <w:szCs w:val="24"/>
        </w:rPr>
        <w:t xml:space="preserve"> </w:t>
      </w:r>
      <w:r w:rsidR="00E61BED" w:rsidRPr="007B0ED8">
        <w:rPr>
          <w:rFonts w:ascii="Times New Roman" w:hAnsi="Times New Roman" w:cs="Courier New"/>
          <w:sz w:val="24"/>
          <w:szCs w:val="24"/>
        </w:rPr>
        <w:t xml:space="preserve">Emellertid tillåter inte utrymmet ingående undersökningar av samtliga ställen. Därför utgår vi ifrån en välbevarad text och </w:t>
      </w:r>
      <w:r w:rsidR="00E61BED" w:rsidRPr="007B0ED8">
        <w:rPr>
          <w:rFonts w:ascii="Times New Roman" w:hAnsi="Times New Roman" w:cs="Courier New"/>
          <w:sz w:val="24"/>
          <w:szCs w:val="24"/>
        </w:rPr>
        <w:lastRenderedPageBreak/>
        <w:t>försöker att med hjälp av den och annat relevant material skapa konkretion till det som sägs där.</w:t>
      </w:r>
    </w:p>
    <w:p w:rsidR="00E61BED" w:rsidRPr="007B0ED8" w:rsidRDefault="00E61BED"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Vi börjar således </w:t>
      </w:r>
      <w:r w:rsidR="00DB0E83" w:rsidRPr="007B0ED8">
        <w:rPr>
          <w:rFonts w:ascii="Times New Roman" w:hAnsi="Times New Roman" w:cs="Courier New"/>
          <w:sz w:val="24"/>
          <w:szCs w:val="24"/>
        </w:rPr>
        <w:t>vår undersökning med ett brev som är väldigt välbevarat</w:t>
      </w:r>
      <w:r w:rsidRPr="007B0ED8">
        <w:rPr>
          <w:rFonts w:ascii="Times New Roman" w:hAnsi="Times New Roman" w:cs="Courier New"/>
          <w:sz w:val="24"/>
          <w:szCs w:val="24"/>
        </w:rPr>
        <w:t>.</w:t>
      </w:r>
    </w:p>
    <w:p w:rsidR="00744007" w:rsidRPr="007B0ED8" w:rsidRDefault="00744007" w:rsidP="00CD45C1">
      <w:pPr>
        <w:autoSpaceDE w:val="0"/>
        <w:autoSpaceDN w:val="0"/>
        <w:adjustRightInd w:val="0"/>
        <w:spacing w:after="0" w:line="240" w:lineRule="auto"/>
        <w:rPr>
          <w:rFonts w:ascii="Times New Roman" w:hAnsi="Times New Roman" w:cs="Courier New"/>
          <w:sz w:val="24"/>
          <w:szCs w:val="24"/>
        </w:rPr>
      </w:pPr>
    </w:p>
    <w:p w:rsidR="00744007" w:rsidRPr="007B0ED8" w:rsidRDefault="00744007" w:rsidP="00CD45C1">
      <w:pPr>
        <w:autoSpaceDE w:val="0"/>
        <w:autoSpaceDN w:val="0"/>
        <w:adjustRightInd w:val="0"/>
        <w:spacing w:after="0" w:line="240" w:lineRule="auto"/>
        <w:rPr>
          <w:rFonts w:ascii="Times New Roman" w:hAnsi="Times New Roman" w:cs="Courier New"/>
          <w:sz w:val="24"/>
          <w:szCs w:val="24"/>
        </w:rPr>
      </w:pPr>
    </w:p>
    <w:p w:rsidR="00A63B11" w:rsidRPr="007B0ED8" w:rsidRDefault="00F5704C"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Kell. </w:t>
      </w:r>
      <w:proofErr w:type="spellStart"/>
      <w:r w:rsidRPr="007B0ED8">
        <w:rPr>
          <w:rFonts w:ascii="Times New Roman" w:hAnsi="Times New Roman" w:cs="Courier New"/>
          <w:sz w:val="24"/>
          <w:szCs w:val="24"/>
        </w:rPr>
        <w:t>Copt</w:t>
      </w:r>
      <w:proofErr w:type="spellEnd"/>
      <w:r w:rsidRPr="007B0ED8">
        <w:rPr>
          <w:rFonts w:ascii="Times New Roman" w:hAnsi="Times New Roman" w:cs="Courier New"/>
          <w:sz w:val="24"/>
          <w:szCs w:val="24"/>
        </w:rPr>
        <w:t>. 15</w:t>
      </w:r>
      <w:r w:rsidR="00464296" w:rsidRPr="007B0ED8">
        <w:rPr>
          <w:rFonts w:ascii="Times New Roman" w:hAnsi="Times New Roman" w:cs="Courier New"/>
          <w:sz w:val="24"/>
          <w:szCs w:val="24"/>
        </w:rPr>
        <w:t xml:space="preserve"> kommer från h</w:t>
      </w:r>
      <w:r w:rsidR="006108B8" w:rsidRPr="007B0ED8">
        <w:rPr>
          <w:rFonts w:ascii="Times New Roman" w:hAnsi="Times New Roman" w:cs="Courier New"/>
          <w:sz w:val="24"/>
          <w:szCs w:val="24"/>
        </w:rPr>
        <w:t>us 3 där vi även</w:t>
      </w:r>
      <w:r w:rsidR="00DB0E83" w:rsidRPr="007B0ED8">
        <w:rPr>
          <w:rFonts w:ascii="Times New Roman" w:hAnsi="Times New Roman" w:cs="Courier New"/>
          <w:sz w:val="24"/>
          <w:szCs w:val="24"/>
        </w:rPr>
        <w:t xml:space="preserve"> finner breven från Makarios familj som vi berört ovan. Det är således troligt att brevet är manikeiskt. Detta antagande styrks även av hälsningar till ”dem som skänker vila”,</w:t>
      </w:r>
      <w:r w:rsidR="00DB0E83" w:rsidRPr="007B0ED8">
        <w:rPr>
          <w:rStyle w:val="Fotnotsreferens"/>
          <w:rFonts w:ascii="Times New Roman" w:hAnsi="Times New Roman" w:cs="Courier New"/>
          <w:sz w:val="24"/>
          <w:szCs w:val="24"/>
        </w:rPr>
        <w:footnoteReference w:id="68"/>
      </w:r>
      <w:r w:rsidR="00DB0E83" w:rsidRPr="007B0ED8">
        <w:rPr>
          <w:rFonts w:ascii="Times New Roman" w:hAnsi="Times New Roman" w:cs="Courier New"/>
          <w:sz w:val="24"/>
          <w:szCs w:val="24"/>
        </w:rPr>
        <w:t xml:space="preserve"> ”de utvalda”</w:t>
      </w:r>
      <w:r w:rsidR="00DB0E83" w:rsidRPr="007B0ED8">
        <w:rPr>
          <w:rStyle w:val="Fotnotsreferens"/>
          <w:rFonts w:ascii="Times New Roman" w:hAnsi="Times New Roman" w:cs="Courier New"/>
          <w:sz w:val="24"/>
          <w:szCs w:val="24"/>
        </w:rPr>
        <w:footnoteReference w:id="69"/>
      </w:r>
      <w:r w:rsidR="008A47A8" w:rsidRPr="007B0ED8">
        <w:rPr>
          <w:rFonts w:ascii="Times New Roman" w:hAnsi="Times New Roman" w:cs="Courier New"/>
          <w:sz w:val="24"/>
          <w:szCs w:val="24"/>
        </w:rPr>
        <w:t xml:space="preserve"> och katekumenerna</w:t>
      </w:r>
      <w:r w:rsidR="005C657E" w:rsidRPr="007B0ED8">
        <w:rPr>
          <w:rStyle w:val="Fotnotsreferens"/>
          <w:rFonts w:ascii="Times New Roman" w:hAnsi="Times New Roman" w:cs="Courier New"/>
          <w:sz w:val="24"/>
          <w:szCs w:val="24"/>
        </w:rPr>
        <w:footnoteReference w:id="70"/>
      </w:r>
      <w:r w:rsidR="008A47A8" w:rsidRPr="007B0ED8">
        <w:rPr>
          <w:rFonts w:ascii="Times New Roman" w:hAnsi="Times New Roman" w:cs="Courier New"/>
          <w:sz w:val="24"/>
          <w:szCs w:val="24"/>
        </w:rPr>
        <w:t xml:space="preserve"> som vi i det föregående valt att kalla lekfolket. </w:t>
      </w:r>
      <w:r w:rsidR="00FF3DF4" w:rsidRPr="007B0ED8">
        <w:rPr>
          <w:rFonts w:ascii="Times New Roman" w:hAnsi="Times New Roman" w:cs="Courier New"/>
          <w:sz w:val="24"/>
          <w:szCs w:val="24"/>
        </w:rPr>
        <w:t xml:space="preserve">I den inledande hälsningen nämner avsändaren </w:t>
      </w:r>
      <w:proofErr w:type="spellStart"/>
      <w:r w:rsidR="00FF3DF4" w:rsidRPr="007B0ED8">
        <w:rPr>
          <w:rFonts w:ascii="Times New Roman" w:hAnsi="Times New Roman" w:cs="Courier New"/>
          <w:sz w:val="24"/>
          <w:szCs w:val="24"/>
        </w:rPr>
        <w:t>Horion</w:t>
      </w:r>
      <w:proofErr w:type="spellEnd"/>
      <w:r w:rsidR="00FF3DF4" w:rsidRPr="007B0ED8">
        <w:rPr>
          <w:rFonts w:ascii="Times New Roman" w:hAnsi="Times New Roman" w:cs="Courier New"/>
          <w:sz w:val="24"/>
          <w:szCs w:val="24"/>
        </w:rPr>
        <w:t xml:space="preserve"> ”det ljusa förståndets lem”</w:t>
      </w:r>
      <w:r w:rsidR="00FF3DF4" w:rsidRPr="007B0ED8">
        <w:rPr>
          <w:rStyle w:val="Fotnotsreferens"/>
          <w:rFonts w:ascii="Times New Roman" w:hAnsi="Times New Roman" w:cs="Courier New"/>
          <w:sz w:val="24"/>
          <w:szCs w:val="24"/>
        </w:rPr>
        <w:footnoteReference w:id="71"/>
      </w:r>
      <w:r w:rsidR="00FF3DF4" w:rsidRPr="007B0ED8">
        <w:rPr>
          <w:rFonts w:ascii="Times New Roman" w:hAnsi="Times New Roman" w:cs="Courier New"/>
          <w:sz w:val="24"/>
          <w:szCs w:val="24"/>
        </w:rPr>
        <w:t xml:space="preserve"> något som klingar välbekant från annan manikeisk litteratur.</w:t>
      </w:r>
      <w:r w:rsidR="009F2A3C" w:rsidRPr="007B0ED8">
        <w:rPr>
          <w:rFonts w:ascii="Times New Roman" w:hAnsi="Times New Roman" w:cs="Courier New"/>
          <w:sz w:val="24"/>
          <w:szCs w:val="24"/>
        </w:rPr>
        <w:t xml:space="preserve"> Avsändaren </w:t>
      </w:r>
      <w:proofErr w:type="spellStart"/>
      <w:r w:rsidR="009F2A3C" w:rsidRPr="007B0ED8">
        <w:rPr>
          <w:rFonts w:ascii="Times New Roman" w:hAnsi="Times New Roman" w:cs="Courier New"/>
          <w:sz w:val="24"/>
          <w:szCs w:val="24"/>
        </w:rPr>
        <w:t>Horion</w:t>
      </w:r>
      <w:proofErr w:type="spellEnd"/>
      <w:r w:rsidR="009F2A3C" w:rsidRPr="007B0ED8">
        <w:rPr>
          <w:rFonts w:ascii="Times New Roman" w:hAnsi="Times New Roman" w:cs="Courier New"/>
          <w:sz w:val="24"/>
          <w:szCs w:val="24"/>
        </w:rPr>
        <w:t xml:space="preserve"> har även författat Kell. </w:t>
      </w:r>
      <w:proofErr w:type="spellStart"/>
      <w:r w:rsidR="009F2A3C" w:rsidRPr="007B0ED8">
        <w:rPr>
          <w:rFonts w:ascii="Times New Roman" w:hAnsi="Times New Roman" w:cs="Courier New"/>
          <w:sz w:val="24"/>
          <w:szCs w:val="24"/>
        </w:rPr>
        <w:t>Copt</w:t>
      </w:r>
      <w:proofErr w:type="spellEnd"/>
      <w:r w:rsidR="009F2A3C" w:rsidRPr="007B0ED8">
        <w:rPr>
          <w:rFonts w:ascii="Times New Roman" w:hAnsi="Times New Roman" w:cs="Courier New"/>
          <w:sz w:val="24"/>
          <w:szCs w:val="24"/>
        </w:rPr>
        <w:t>. 16</w:t>
      </w:r>
      <w:r w:rsidR="00E61BED" w:rsidRPr="007B0ED8">
        <w:rPr>
          <w:rFonts w:ascii="Times New Roman" w:hAnsi="Times New Roman" w:cs="Courier New"/>
          <w:sz w:val="24"/>
          <w:szCs w:val="24"/>
        </w:rPr>
        <w:t xml:space="preserve"> och </w:t>
      </w:r>
      <w:r w:rsidR="009F2A3C" w:rsidRPr="007B0ED8">
        <w:rPr>
          <w:rFonts w:ascii="Times New Roman" w:hAnsi="Times New Roman" w:cs="Courier New"/>
          <w:sz w:val="24"/>
          <w:szCs w:val="24"/>
        </w:rPr>
        <w:t xml:space="preserve">17 där vi har samma mottagare, Hor, som i Kell. </w:t>
      </w:r>
      <w:proofErr w:type="spellStart"/>
      <w:r w:rsidR="009F2A3C" w:rsidRPr="007B0ED8">
        <w:rPr>
          <w:rFonts w:ascii="Times New Roman" w:hAnsi="Times New Roman" w:cs="Courier New"/>
          <w:sz w:val="24"/>
          <w:szCs w:val="24"/>
        </w:rPr>
        <w:t>Copt</w:t>
      </w:r>
      <w:proofErr w:type="spellEnd"/>
      <w:r w:rsidR="009F2A3C" w:rsidRPr="007B0ED8">
        <w:rPr>
          <w:rFonts w:ascii="Times New Roman" w:hAnsi="Times New Roman" w:cs="Courier New"/>
          <w:sz w:val="24"/>
          <w:szCs w:val="24"/>
        </w:rPr>
        <w:t xml:space="preserve">. 15. I Kell. </w:t>
      </w:r>
      <w:proofErr w:type="spellStart"/>
      <w:r w:rsidR="009F2A3C" w:rsidRPr="007B0ED8">
        <w:rPr>
          <w:rFonts w:ascii="Times New Roman" w:hAnsi="Times New Roman" w:cs="Courier New"/>
          <w:sz w:val="24"/>
          <w:szCs w:val="24"/>
        </w:rPr>
        <w:t>Copt</w:t>
      </w:r>
      <w:proofErr w:type="spellEnd"/>
      <w:r w:rsidR="009F2A3C" w:rsidRPr="007B0ED8">
        <w:rPr>
          <w:rFonts w:ascii="Times New Roman" w:hAnsi="Times New Roman" w:cs="Courier New"/>
          <w:sz w:val="24"/>
          <w:szCs w:val="24"/>
        </w:rPr>
        <w:t xml:space="preserve">. 18 skriver </w:t>
      </w:r>
      <w:proofErr w:type="spellStart"/>
      <w:r w:rsidR="009F2A3C" w:rsidRPr="007B0ED8">
        <w:rPr>
          <w:rFonts w:ascii="Times New Roman" w:hAnsi="Times New Roman" w:cs="Courier New"/>
          <w:sz w:val="24"/>
          <w:szCs w:val="24"/>
        </w:rPr>
        <w:t>Hori</w:t>
      </w:r>
      <w:r w:rsidR="00563B6E" w:rsidRPr="007B0ED8">
        <w:rPr>
          <w:rFonts w:ascii="Times New Roman" w:hAnsi="Times New Roman" w:cs="Courier New"/>
          <w:sz w:val="24"/>
          <w:szCs w:val="24"/>
        </w:rPr>
        <w:t>o</w:t>
      </w:r>
      <w:r w:rsidR="009F2A3C" w:rsidRPr="007B0ED8">
        <w:rPr>
          <w:rFonts w:ascii="Times New Roman" w:hAnsi="Times New Roman" w:cs="Courier New"/>
          <w:sz w:val="24"/>
          <w:szCs w:val="24"/>
        </w:rPr>
        <w:t>n</w:t>
      </w:r>
      <w:proofErr w:type="spellEnd"/>
      <w:r w:rsidR="009F2A3C" w:rsidRPr="007B0ED8">
        <w:rPr>
          <w:rFonts w:ascii="Times New Roman" w:hAnsi="Times New Roman" w:cs="Courier New"/>
          <w:sz w:val="24"/>
          <w:szCs w:val="24"/>
        </w:rPr>
        <w:t xml:space="preserve"> till andra mottagare.</w:t>
      </w:r>
    </w:p>
    <w:p w:rsidR="007951BA" w:rsidRPr="007B0ED8" w:rsidRDefault="007951BA" w:rsidP="00CD45C1">
      <w:pPr>
        <w:autoSpaceDE w:val="0"/>
        <w:autoSpaceDN w:val="0"/>
        <w:adjustRightInd w:val="0"/>
        <w:spacing w:after="0" w:line="240" w:lineRule="auto"/>
        <w:rPr>
          <w:rFonts w:ascii="Times New Roman" w:hAnsi="Times New Roman" w:cs="Courier New"/>
          <w:sz w:val="24"/>
          <w:szCs w:val="24"/>
        </w:rPr>
      </w:pPr>
    </w:p>
    <w:p w:rsidR="008A47A8" w:rsidRPr="007B0ED8" w:rsidRDefault="00A63B11"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Kell. </w:t>
      </w:r>
      <w:proofErr w:type="spellStart"/>
      <w:r w:rsidRPr="007B0ED8">
        <w:rPr>
          <w:rFonts w:ascii="Times New Roman" w:hAnsi="Times New Roman" w:cs="Courier New"/>
          <w:sz w:val="24"/>
          <w:szCs w:val="24"/>
        </w:rPr>
        <w:t>Copt</w:t>
      </w:r>
      <w:proofErr w:type="spellEnd"/>
      <w:r w:rsidRPr="007B0ED8">
        <w:rPr>
          <w:rFonts w:ascii="Times New Roman" w:hAnsi="Times New Roman" w:cs="Courier New"/>
          <w:sz w:val="24"/>
          <w:szCs w:val="24"/>
        </w:rPr>
        <w:t>. 15 är relativt väl kom</w:t>
      </w:r>
      <w:r w:rsidR="009F2A3C" w:rsidRPr="007B0ED8">
        <w:rPr>
          <w:rFonts w:ascii="Times New Roman" w:hAnsi="Times New Roman" w:cs="Courier New"/>
          <w:sz w:val="24"/>
          <w:szCs w:val="24"/>
        </w:rPr>
        <w:t>p</w:t>
      </w:r>
      <w:r w:rsidRPr="007B0ED8">
        <w:rPr>
          <w:rFonts w:ascii="Times New Roman" w:hAnsi="Times New Roman" w:cs="Courier New"/>
          <w:sz w:val="24"/>
          <w:szCs w:val="24"/>
        </w:rPr>
        <w:t>o</w:t>
      </w:r>
      <w:r w:rsidR="009F2A3C" w:rsidRPr="007B0ED8">
        <w:rPr>
          <w:rFonts w:ascii="Times New Roman" w:hAnsi="Times New Roman" w:cs="Courier New"/>
          <w:sz w:val="24"/>
          <w:szCs w:val="24"/>
        </w:rPr>
        <w:t xml:space="preserve">nerat. Vi har </w:t>
      </w:r>
      <w:r w:rsidR="00B13940" w:rsidRPr="007B0ED8">
        <w:rPr>
          <w:rFonts w:ascii="Times New Roman" w:hAnsi="Times New Roman" w:cs="Courier New"/>
          <w:sz w:val="24"/>
          <w:szCs w:val="24"/>
        </w:rPr>
        <w:t xml:space="preserve">som vanligt i breven från Kellis en mycket sirlig inledning. Därefter följer brevets huvuddel som enbart verkar </w:t>
      </w:r>
      <w:r w:rsidR="007D1444" w:rsidRPr="007B0ED8">
        <w:rPr>
          <w:rFonts w:ascii="Times New Roman" w:hAnsi="Times New Roman" w:cs="Courier New"/>
          <w:sz w:val="24"/>
          <w:szCs w:val="24"/>
        </w:rPr>
        <w:t xml:space="preserve">handla </w:t>
      </w:r>
      <w:r w:rsidR="00B13940" w:rsidRPr="007B0ED8">
        <w:rPr>
          <w:rFonts w:ascii="Times New Roman" w:hAnsi="Times New Roman" w:cs="Courier New"/>
          <w:sz w:val="24"/>
          <w:szCs w:val="24"/>
        </w:rPr>
        <w:t xml:space="preserve">om agapemåltidens praktiska förberedelser. </w:t>
      </w:r>
      <w:r w:rsidR="007D1444" w:rsidRPr="007B0ED8">
        <w:rPr>
          <w:rFonts w:ascii="Times New Roman" w:hAnsi="Times New Roman" w:cs="Courier New"/>
          <w:sz w:val="24"/>
          <w:szCs w:val="24"/>
        </w:rPr>
        <w:t xml:space="preserve">Avslutningsvis </w:t>
      </w:r>
      <w:r w:rsidR="00B13940" w:rsidRPr="007B0ED8">
        <w:rPr>
          <w:rFonts w:ascii="Times New Roman" w:hAnsi="Times New Roman" w:cs="Courier New"/>
          <w:sz w:val="24"/>
          <w:szCs w:val="24"/>
        </w:rPr>
        <w:t xml:space="preserve">följer de avslutande hälsningarna. I det följande har jag översatt brevets huvuddel. </w:t>
      </w:r>
    </w:p>
    <w:p w:rsidR="00276A81" w:rsidRPr="007B0ED8" w:rsidRDefault="00276A81" w:rsidP="00A63B11">
      <w:pPr>
        <w:autoSpaceDE w:val="0"/>
        <w:autoSpaceDN w:val="0"/>
        <w:adjustRightInd w:val="0"/>
        <w:spacing w:after="0" w:line="240" w:lineRule="auto"/>
        <w:ind w:left="1304"/>
        <w:rPr>
          <w:rFonts w:ascii="Times New Roman" w:hAnsi="Times New Roman" w:cs="Courier New"/>
          <w:sz w:val="24"/>
        </w:rPr>
      </w:pPr>
    </w:p>
    <w:p w:rsidR="002E0606" w:rsidRPr="00B273CB" w:rsidRDefault="00EC6A68" w:rsidP="00CD45C1">
      <w:pPr>
        <w:autoSpaceDE w:val="0"/>
        <w:autoSpaceDN w:val="0"/>
        <w:adjustRightInd w:val="0"/>
        <w:spacing w:after="0" w:line="240" w:lineRule="auto"/>
        <w:rPr>
          <w:rFonts w:ascii="Times New Roman" w:hAnsi="Times New Roman" w:cs="Courier New"/>
        </w:rPr>
      </w:pPr>
      <w:r w:rsidRPr="00B273CB">
        <w:rPr>
          <w:rFonts w:ascii="Times New Roman" w:hAnsi="Times New Roman" w:cs="Courier New"/>
        </w:rPr>
        <w:t>Jag har tagit emot</w:t>
      </w:r>
      <w:r w:rsidR="002F5E45" w:rsidRPr="00B273CB">
        <w:rPr>
          <w:rFonts w:ascii="Times New Roman" w:hAnsi="Times New Roman" w:cs="Courier New"/>
        </w:rPr>
        <w:t xml:space="preserve"> en </w:t>
      </w:r>
      <w:proofErr w:type="spellStart"/>
      <w:r w:rsidR="002F5E45" w:rsidRPr="00B273CB">
        <w:rPr>
          <w:rFonts w:ascii="Times New Roman" w:hAnsi="Times New Roman" w:cs="Courier New"/>
          <w:i/>
        </w:rPr>
        <w:t>agon</w:t>
      </w:r>
      <w:proofErr w:type="spellEnd"/>
      <w:r w:rsidR="002F5E45" w:rsidRPr="00B273CB">
        <w:rPr>
          <w:rStyle w:val="Fotnotsreferens"/>
          <w:rFonts w:ascii="Times New Roman" w:hAnsi="Times New Roman" w:cs="Courier New"/>
        </w:rPr>
        <w:footnoteReference w:id="72"/>
      </w:r>
      <w:r w:rsidR="002F5E45" w:rsidRPr="00B273CB">
        <w:rPr>
          <w:rFonts w:ascii="Times New Roman" w:hAnsi="Times New Roman" w:cs="Courier New"/>
        </w:rPr>
        <w:t xml:space="preserve"> olja från vår son</w:t>
      </w:r>
      <w:r w:rsidR="00EC5FC7" w:rsidRPr="00B273CB">
        <w:rPr>
          <w:rStyle w:val="Fotnotsreferens"/>
          <w:rFonts w:ascii="Times New Roman" w:hAnsi="Times New Roman" w:cs="Courier New"/>
        </w:rPr>
        <w:footnoteReference w:id="73"/>
      </w:r>
      <w:r w:rsidR="002F5E45" w:rsidRPr="00B273CB">
        <w:rPr>
          <w:rFonts w:ascii="Times New Roman" w:hAnsi="Times New Roman" w:cs="Courier New"/>
        </w:rPr>
        <w:t xml:space="preserve"> </w:t>
      </w:r>
      <w:proofErr w:type="spellStart"/>
      <w:r w:rsidR="002F5E45" w:rsidRPr="00B273CB">
        <w:rPr>
          <w:rFonts w:ascii="Times New Roman" w:hAnsi="Times New Roman" w:cs="Courier New"/>
        </w:rPr>
        <w:t>Raz</w:t>
      </w:r>
      <w:proofErr w:type="spellEnd"/>
      <w:r w:rsidR="002F5E45" w:rsidRPr="00B273CB">
        <w:rPr>
          <w:rFonts w:ascii="Times New Roman" w:hAnsi="Times New Roman" w:cs="Courier New"/>
        </w:rPr>
        <w:t>.</w:t>
      </w:r>
      <w:r w:rsidR="00A63B11" w:rsidRPr="00B273CB">
        <w:rPr>
          <w:rFonts w:ascii="Times New Roman" w:hAnsi="Times New Roman" w:cs="Courier New"/>
        </w:rPr>
        <w:t xml:space="preserve"> </w:t>
      </w:r>
      <w:r w:rsidR="0097777F" w:rsidRPr="00B273CB">
        <w:rPr>
          <w:rFonts w:ascii="Times New Roman" w:hAnsi="Times New Roman" w:cs="Courier New"/>
        </w:rPr>
        <w:t>Notera</w:t>
      </w:r>
      <w:r w:rsidR="00276A81" w:rsidRPr="00B273CB">
        <w:rPr>
          <w:rStyle w:val="Fotnotsreferens"/>
          <w:rFonts w:ascii="Times New Roman" w:hAnsi="Times New Roman" w:cs="Courier New"/>
        </w:rPr>
        <w:footnoteReference w:id="74"/>
      </w:r>
      <w:r w:rsidR="0097777F" w:rsidRPr="00B273CB">
        <w:rPr>
          <w:rFonts w:ascii="Times New Roman" w:hAnsi="Times New Roman" w:cs="Courier New"/>
        </w:rPr>
        <w:t xml:space="preserve"> </w:t>
      </w:r>
      <w:r w:rsidR="00A63B11" w:rsidRPr="00B273CB">
        <w:rPr>
          <w:rFonts w:ascii="Times New Roman" w:hAnsi="Times New Roman" w:cs="Courier New"/>
        </w:rPr>
        <w:t>att jag har reserverat [</w:t>
      </w:r>
      <w:proofErr w:type="gramStart"/>
      <w:r w:rsidR="00A63B11" w:rsidRPr="00B273CB">
        <w:rPr>
          <w:rFonts w:ascii="Times New Roman" w:hAnsi="Times New Roman" w:cs="Courier New"/>
        </w:rPr>
        <w:t>……</w:t>
      </w:r>
      <w:proofErr w:type="gramEnd"/>
      <w:r w:rsidR="00A63B11" w:rsidRPr="00B273CB">
        <w:rPr>
          <w:rFonts w:ascii="Times New Roman" w:hAnsi="Times New Roman" w:cs="Courier New"/>
        </w:rPr>
        <w:t>] för agapen.</w:t>
      </w:r>
      <w:r w:rsidR="001A29DF" w:rsidRPr="00B273CB">
        <w:rPr>
          <w:rFonts w:ascii="Times New Roman" w:hAnsi="Times New Roman" w:cs="Courier New"/>
        </w:rPr>
        <w:t xml:space="preserve"> Dessutom har du även skrivit: köp sex maje</w:t>
      </w:r>
      <w:r w:rsidR="001E1CBD" w:rsidRPr="00B273CB">
        <w:rPr>
          <w:rStyle w:val="Fotnotsreferens"/>
          <w:rFonts w:ascii="Times New Roman" w:hAnsi="Times New Roman" w:cs="Courier New"/>
        </w:rPr>
        <w:footnoteReference w:id="75"/>
      </w:r>
      <w:r w:rsidR="001A29DF" w:rsidRPr="00B273CB">
        <w:rPr>
          <w:rFonts w:ascii="Times New Roman" w:hAnsi="Times New Roman" w:cs="Courier New"/>
        </w:rPr>
        <w:t xml:space="preserve"> vete. Jag kommer köpa dem för 1200 </w:t>
      </w:r>
      <w:r w:rsidR="0097777F" w:rsidRPr="00B273CB">
        <w:rPr>
          <w:rFonts w:ascii="Times New Roman" w:hAnsi="Times New Roman" w:cs="Courier New"/>
        </w:rPr>
        <w:t>(</w:t>
      </w:r>
      <w:r w:rsidR="001A29DF" w:rsidRPr="00B273CB">
        <w:rPr>
          <w:rFonts w:ascii="Times New Roman" w:hAnsi="Times New Roman" w:cs="Courier New"/>
        </w:rPr>
        <w:t>talenter</w:t>
      </w:r>
      <w:r w:rsidR="0097777F" w:rsidRPr="00B273CB">
        <w:rPr>
          <w:rFonts w:ascii="Times New Roman" w:hAnsi="Times New Roman" w:cs="Courier New"/>
        </w:rPr>
        <w:t>)</w:t>
      </w:r>
      <w:r w:rsidR="001A29DF" w:rsidRPr="00B273CB">
        <w:rPr>
          <w:rFonts w:ascii="Times New Roman" w:hAnsi="Times New Roman" w:cs="Courier New"/>
        </w:rPr>
        <w:t xml:space="preserve"> per </w:t>
      </w:r>
      <w:proofErr w:type="spellStart"/>
      <w:r w:rsidR="001A29DF" w:rsidRPr="00B273CB">
        <w:rPr>
          <w:rFonts w:ascii="Times New Roman" w:hAnsi="Times New Roman" w:cs="Courier New"/>
        </w:rPr>
        <w:t>artaba</w:t>
      </w:r>
      <w:proofErr w:type="spellEnd"/>
      <w:r w:rsidR="00BB00B3" w:rsidRPr="00B273CB">
        <w:rPr>
          <w:rStyle w:val="Fotnotsreferens"/>
          <w:rFonts w:ascii="Times New Roman" w:hAnsi="Times New Roman" w:cs="Courier New"/>
        </w:rPr>
        <w:footnoteReference w:id="76"/>
      </w:r>
      <w:r w:rsidR="001A29DF" w:rsidRPr="00B273CB">
        <w:rPr>
          <w:rFonts w:ascii="Times New Roman" w:hAnsi="Times New Roman" w:cs="Courier New"/>
        </w:rPr>
        <w:t xml:space="preserve"> vilket således </w:t>
      </w:r>
      <w:r w:rsidR="0097777F" w:rsidRPr="00B273CB">
        <w:rPr>
          <w:rFonts w:ascii="Times New Roman" w:hAnsi="Times New Roman" w:cs="Courier New"/>
        </w:rPr>
        <w:t xml:space="preserve">gör </w:t>
      </w:r>
      <w:r w:rsidR="001A29DF" w:rsidRPr="00B273CB">
        <w:rPr>
          <w:rFonts w:ascii="Times New Roman" w:hAnsi="Times New Roman" w:cs="Courier New"/>
        </w:rPr>
        <w:t xml:space="preserve">705 </w:t>
      </w:r>
      <w:proofErr w:type="spellStart"/>
      <w:r w:rsidR="001A29DF" w:rsidRPr="00B273CB">
        <w:rPr>
          <w:rFonts w:ascii="Times New Roman" w:hAnsi="Times New Roman" w:cs="Courier New"/>
        </w:rPr>
        <w:t>nummi</w:t>
      </w:r>
      <w:proofErr w:type="spellEnd"/>
      <w:r w:rsidR="001A29DF" w:rsidRPr="00B273CB">
        <w:rPr>
          <w:rFonts w:ascii="Times New Roman" w:hAnsi="Times New Roman" w:cs="Courier New"/>
        </w:rPr>
        <w:t>.</w:t>
      </w:r>
      <w:r w:rsidR="00BB00B3" w:rsidRPr="00B273CB">
        <w:rPr>
          <w:rStyle w:val="Fotnotsreferens"/>
          <w:rFonts w:ascii="Times New Roman" w:hAnsi="Times New Roman" w:cs="Courier New"/>
        </w:rPr>
        <w:footnoteReference w:id="77"/>
      </w:r>
      <w:r w:rsidR="0097777F" w:rsidRPr="00B273CB">
        <w:rPr>
          <w:rFonts w:ascii="Times New Roman" w:hAnsi="Times New Roman" w:cs="Courier New"/>
        </w:rPr>
        <w:t xml:space="preserve"> Jag har dessutom fått en säck</w:t>
      </w:r>
      <w:r w:rsidR="004F5D36" w:rsidRPr="00B273CB">
        <w:rPr>
          <w:rStyle w:val="Fotnotsreferens"/>
          <w:rFonts w:ascii="Times New Roman" w:hAnsi="Times New Roman" w:cs="Courier New"/>
        </w:rPr>
        <w:footnoteReference w:id="78"/>
      </w:r>
      <w:r w:rsidR="0097777F" w:rsidRPr="00B273CB">
        <w:rPr>
          <w:rFonts w:ascii="Times New Roman" w:hAnsi="Times New Roman" w:cs="Courier New"/>
        </w:rPr>
        <w:t xml:space="preserve"> av vår son </w:t>
      </w:r>
      <w:proofErr w:type="spellStart"/>
      <w:r w:rsidR="0097777F" w:rsidRPr="00B273CB">
        <w:rPr>
          <w:rFonts w:ascii="Times New Roman" w:hAnsi="Times New Roman" w:cs="Courier New"/>
        </w:rPr>
        <w:t>Pateni</w:t>
      </w:r>
      <w:proofErr w:type="spellEnd"/>
      <w:r w:rsidR="0097777F" w:rsidRPr="00B273CB">
        <w:rPr>
          <w:rFonts w:ascii="Times New Roman" w:hAnsi="Times New Roman" w:cs="Courier New"/>
        </w:rPr>
        <w:t xml:space="preserve">. Notera att jag har fyllt den och skickat den med </w:t>
      </w:r>
      <w:proofErr w:type="spellStart"/>
      <w:r w:rsidR="0097777F" w:rsidRPr="00B273CB">
        <w:rPr>
          <w:rFonts w:ascii="Times New Roman" w:hAnsi="Times New Roman" w:cs="Courier New"/>
        </w:rPr>
        <w:t>Raz</w:t>
      </w:r>
      <w:proofErr w:type="spellEnd"/>
      <w:r w:rsidR="0097777F" w:rsidRPr="00B273CB">
        <w:rPr>
          <w:rFonts w:ascii="Times New Roman" w:hAnsi="Times New Roman" w:cs="Courier New"/>
        </w:rPr>
        <w:t xml:space="preserve">. Skriv till mig när du fått den. </w:t>
      </w:r>
      <w:r w:rsidR="00A67BFD" w:rsidRPr="00B273CB">
        <w:rPr>
          <w:rFonts w:ascii="Times New Roman" w:hAnsi="Times New Roman" w:cs="Courier New"/>
        </w:rPr>
        <w:t>Bekymra dig inte över agapen, med glädje kommer jag ordna allt.</w:t>
      </w:r>
      <w:r w:rsidR="00276A81" w:rsidRPr="00B273CB">
        <w:rPr>
          <w:rFonts w:ascii="Times New Roman" w:hAnsi="Times New Roman" w:cs="Courier New"/>
        </w:rPr>
        <w:t xml:space="preserve"> Ja, vår bror </w:t>
      </w:r>
      <w:proofErr w:type="spellStart"/>
      <w:r w:rsidR="00276A81" w:rsidRPr="00B273CB">
        <w:rPr>
          <w:rFonts w:ascii="Times New Roman" w:hAnsi="Times New Roman" w:cs="Courier New"/>
        </w:rPr>
        <w:t>Pakous</w:t>
      </w:r>
      <w:proofErr w:type="spellEnd"/>
      <w:r w:rsidR="00276A81" w:rsidRPr="00B273CB">
        <w:rPr>
          <w:rFonts w:ascii="Times New Roman" w:hAnsi="Times New Roman" w:cs="Courier New"/>
        </w:rPr>
        <w:t xml:space="preserve"> är och skördar söder om kanalen. Om han inte kommit när det är dags skickar jag hans andel söderut till honom.</w:t>
      </w:r>
      <w:r w:rsidR="002E0606" w:rsidRPr="00B273CB">
        <w:rPr>
          <w:rStyle w:val="Fotnotsreferens"/>
          <w:rFonts w:ascii="Times New Roman" w:hAnsi="Times New Roman" w:cs="Courier New"/>
        </w:rPr>
        <w:footnoteReference w:id="79"/>
      </w:r>
    </w:p>
    <w:p w:rsidR="00E61BED" w:rsidRPr="007B0ED8" w:rsidRDefault="00E61BED" w:rsidP="00A63B11">
      <w:pPr>
        <w:autoSpaceDE w:val="0"/>
        <w:autoSpaceDN w:val="0"/>
        <w:adjustRightInd w:val="0"/>
        <w:spacing w:after="0" w:line="240" w:lineRule="auto"/>
        <w:ind w:left="1304"/>
        <w:rPr>
          <w:rFonts w:ascii="Times New Roman" w:hAnsi="Times New Roman" w:cs="Courier New"/>
          <w:sz w:val="24"/>
        </w:rPr>
      </w:pPr>
    </w:p>
    <w:p w:rsidR="00450CD1" w:rsidRPr="007B0ED8" w:rsidRDefault="00E61BED" w:rsidP="00CD45C1">
      <w:pPr>
        <w:autoSpaceDE w:val="0"/>
        <w:autoSpaceDN w:val="0"/>
        <w:adjustRightInd w:val="0"/>
        <w:spacing w:after="0" w:line="240" w:lineRule="auto"/>
        <w:rPr>
          <w:rFonts w:ascii="Times New Roman" w:hAnsi="Times New Roman" w:cs="Courier New"/>
          <w:sz w:val="24"/>
          <w:szCs w:val="24"/>
        </w:rPr>
      </w:pPr>
      <w:proofErr w:type="spellStart"/>
      <w:r w:rsidRPr="007B0ED8">
        <w:rPr>
          <w:rFonts w:ascii="Times New Roman" w:hAnsi="Times New Roman" w:cs="Courier New"/>
          <w:sz w:val="24"/>
          <w:szCs w:val="24"/>
        </w:rPr>
        <w:t>Horion</w:t>
      </w:r>
      <w:proofErr w:type="spellEnd"/>
      <w:r w:rsidRPr="007B0ED8">
        <w:rPr>
          <w:rFonts w:ascii="Times New Roman" w:hAnsi="Times New Roman" w:cs="Courier New"/>
          <w:sz w:val="24"/>
          <w:szCs w:val="24"/>
        </w:rPr>
        <w:t xml:space="preserve"> ha</w:t>
      </w:r>
      <w:r w:rsidR="00682C17" w:rsidRPr="007B0ED8">
        <w:rPr>
          <w:rFonts w:ascii="Times New Roman" w:hAnsi="Times New Roman" w:cs="Courier New"/>
          <w:sz w:val="24"/>
          <w:szCs w:val="24"/>
        </w:rPr>
        <w:t>r</w:t>
      </w:r>
      <w:r w:rsidRPr="007B0ED8">
        <w:rPr>
          <w:rFonts w:ascii="Times New Roman" w:hAnsi="Times New Roman" w:cs="Courier New"/>
          <w:sz w:val="24"/>
          <w:szCs w:val="24"/>
        </w:rPr>
        <w:t xml:space="preserve"> </w:t>
      </w:r>
      <w:r w:rsidR="00682C17" w:rsidRPr="007B0ED8">
        <w:rPr>
          <w:rFonts w:ascii="Times New Roman" w:hAnsi="Times New Roman" w:cs="Courier New"/>
          <w:sz w:val="24"/>
          <w:szCs w:val="24"/>
        </w:rPr>
        <w:t xml:space="preserve">till </w:t>
      </w:r>
      <w:r w:rsidRPr="007B0ED8">
        <w:rPr>
          <w:rFonts w:ascii="Times New Roman" w:hAnsi="Times New Roman" w:cs="Courier New"/>
          <w:sz w:val="24"/>
          <w:szCs w:val="24"/>
        </w:rPr>
        <w:t>uppgift att distribuera förnödenheter för agapemåltiden.</w:t>
      </w:r>
      <w:r w:rsidR="00682C17" w:rsidRPr="007B0ED8">
        <w:rPr>
          <w:rFonts w:ascii="Times New Roman" w:hAnsi="Times New Roman" w:cs="Courier New"/>
          <w:sz w:val="24"/>
          <w:szCs w:val="24"/>
        </w:rPr>
        <w:t xml:space="preserve"> Jag finner det för mest sannolikt att det även inkluderar det som eventuellt måste skickas till </w:t>
      </w:r>
      <w:proofErr w:type="spellStart"/>
      <w:r w:rsidR="00682C17" w:rsidRPr="007B0ED8">
        <w:rPr>
          <w:rFonts w:ascii="Times New Roman" w:hAnsi="Times New Roman" w:cs="Courier New"/>
          <w:sz w:val="24"/>
          <w:szCs w:val="24"/>
        </w:rPr>
        <w:t>Pakous</w:t>
      </w:r>
      <w:proofErr w:type="spellEnd"/>
      <w:r w:rsidR="00682C17" w:rsidRPr="007B0ED8">
        <w:rPr>
          <w:rFonts w:ascii="Times New Roman" w:hAnsi="Times New Roman" w:cs="Courier New"/>
          <w:sz w:val="24"/>
          <w:szCs w:val="24"/>
        </w:rPr>
        <w:t xml:space="preserve">. </w:t>
      </w:r>
      <w:r w:rsidR="007951BA" w:rsidRPr="007B0ED8">
        <w:rPr>
          <w:rFonts w:ascii="Times New Roman" w:hAnsi="Times New Roman" w:cs="Courier New"/>
          <w:sz w:val="24"/>
          <w:szCs w:val="24"/>
        </w:rPr>
        <w:t>Även om d</w:t>
      </w:r>
      <w:r w:rsidR="00682C17" w:rsidRPr="007B0ED8">
        <w:rPr>
          <w:rFonts w:ascii="Times New Roman" w:hAnsi="Times New Roman" w:cs="Courier New"/>
          <w:sz w:val="24"/>
          <w:szCs w:val="24"/>
        </w:rPr>
        <w:t xml:space="preserve">et inte </w:t>
      </w:r>
      <w:r w:rsidR="007951BA" w:rsidRPr="007B0ED8">
        <w:rPr>
          <w:rFonts w:ascii="Times New Roman" w:hAnsi="Times New Roman" w:cs="Courier New"/>
          <w:sz w:val="24"/>
          <w:szCs w:val="24"/>
        </w:rPr>
        <w:t xml:space="preserve">är </w:t>
      </w:r>
      <w:r w:rsidR="00682C17" w:rsidRPr="007B0ED8">
        <w:rPr>
          <w:rFonts w:ascii="Times New Roman" w:hAnsi="Times New Roman" w:cs="Courier New"/>
          <w:sz w:val="24"/>
          <w:szCs w:val="24"/>
        </w:rPr>
        <w:t xml:space="preserve">uteslutet att </w:t>
      </w:r>
      <w:proofErr w:type="spellStart"/>
      <w:r w:rsidR="00682C17" w:rsidRPr="007B0ED8">
        <w:rPr>
          <w:rFonts w:ascii="Times New Roman" w:hAnsi="Times New Roman" w:cs="Courier New"/>
          <w:sz w:val="24"/>
          <w:szCs w:val="24"/>
        </w:rPr>
        <w:t>Horion</w:t>
      </w:r>
      <w:proofErr w:type="spellEnd"/>
      <w:r w:rsidR="00682C17" w:rsidRPr="007B0ED8">
        <w:rPr>
          <w:rFonts w:ascii="Times New Roman" w:hAnsi="Times New Roman" w:cs="Courier New"/>
          <w:sz w:val="24"/>
          <w:szCs w:val="24"/>
        </w:rPr>
        <w:t xml:space="preserve"> plötsligt byter ämne och talar om en helt annan sak som är känd för honom och Hor, men okänd för oss. Brevets välkomponerade karaktär och stora fokus på agapemåltiden gör emellertid denna möjlighet mindre trolig.</w:t>
      </w:r>
      <w:r w:rsidR="00450CD1" w:rsidRPr="007B0ED8">
        <w:rPr>
          <w:rFonts w:ascii="Times New Roman" w:hAnsi="Times New Roman" w:cs="Courier New"/>
          <w:sz w:val="24"/>
          <w:szCs w:val="24"/>
        </w:rPr>
        <w:t xml:space="preserve"> Om vi antar att </w:t>
      </w:r>
      <w:proofErr w:type="spellStart"/>
      <w:r w:rsidR="00450CD1" w:rsidRPr="007B0ED8">
        <w:rPr>
          <w:rFonts w:ascii="Times New Roman" w:hAnsi="Times New Roman" w:cs="Courier New"/>
          <w:sz w:val="24"/>
          <w:szCs w:val="24"/>
        </w:rPr>
        <w:t>Pakous</w:t>
      </w:r>
      <w:proofErr w:type="spellEnd"/>
      <w:r w:rsidR="00450CD1" w:rsidRPr="007B0ED8">
        <w:rPr>
          <w:rFonts w:ascii="Times New Roman" w:hAnsi="Times New Roman" w:cs="Courier New"/>
          <w:sz w:val="24"/>
          <w:szCs w:val="24"/>
        </w:rPr>
        <w:t xml:space="preserve"> andel också ingår i det som ska konsumeras vid agapemåltiden kan vi även notera att måltiden kan firas på olika håll men </w:t>
      </w:r>
      <w:r w:rsidR="007D1444" w:rsidRPr="007B0ED8">
        <w:rPr>
          <w:rFonts w:ascii="Times New Roman" w:hAnsi="Times New Roman" w:cs="Courier New"/>
          <w:sz w:val="24"/>
          <w:szCs w:val="24"/>
        </w:rPr>
        <w:t xml:space="preserve">att </w:t>
      </w:r>
      <w:r w:rsidR="00450CD1" w:rsidRPr="007B0ED8">
        <w:rPr>
          <w:rFonts w:ascii="Times New Roman" w:hAnsi="Times New Roman" w:cs="Courier New"/>
          <w:sz w:val="24"/>
          <w:szCs w:val="24"/>
        </w:rPr>
        <w:t xml:space="preserve">det ska ske vid samma tidpunkt. </w:t>
      </w:r>
      <w:proofErr w:type="spellStart"/>
      <w:r w:rsidR="00450CD1" w:rsidRPr="007B0ED8">
        <w:rPr>
          <w:rFonts w:ascii="Times New Roman" w:hAnsi="Times New Roman" w:cs="Courier New"/>
          <w:sz w:val="24"/>
          <w:szCs w:val="24"/>
        </w:rPr>
        <w:t>Pakous</w:t>
      </w:r>
      <w:proofErr w:type="spellEnd"/>
      <w:r w:rsidR="00450CD1" w:rsidRPr="007B0ED8">
        <w:rPr>
          <w:rFonts w:ascii="Times New Roman" w:hAnsi="Times New Roman" w:cs="Courier New"/>
          <w:sz w:val="24"/>
          <w:szCs w:val="24"/>
        </w:rPr>
        <w:t xml:space="preserve"> kan rimligtvis inte vara </w:t>
      </w:r>
      <w:r w:rsidR="00450CD1" w:rsidRPr="007B0ED8">
        <w:rPr>
          <w:rFonts w:ascii="Times New Roman" w:hAnsi="Times New Roman" w:cs="Courier New"/>
          <w:sz w:val="24"/>
          <w:szCs w:val="24"/>
        </w:rPr>
        <w:lastRenderedPageBreak/>
        <w:t xml:space="preserve">utvald eftersom han arbetar med jordbruk, om man inte tolkar ”skörda” som nämns i brevet mycket metaforiskt. I så fall </w:t>
      </w:r>
      <w:r w:rsidR="00560B10" w:rsidRPr="007B0ED8">
        <w:rPr>
          <w:rFonts w:ascii="Times New Roman" w:hAnsi="Times New Roman" w:cs="Courier New"/>
          <w:sz w:val="24"/>
          <w:szCs w:val="24"/>
        </w:rPr>
        <w:t xml:space="preserve">ser jag det som mest troligt att </w:t>
      </w:r>
      <w:r w:rsidR="00450CD1" w:rsidRPr="007B0ED8">
        <w:rPr>
          <w:rFonts w:ascii="Times New Roman" w:hAnsi="Times New Roman" w:cs="Courier New"/>
          <w:sz w:val="24"/>
          <w:szCs w:val="24"/>
        </w:rPr>
        <w:t>agapemåltiden firas av lekfolk</w:t>
      </w:r>
      <w:r w:rsidR="00560B10" w:rsidRPr="007B0ED8">
        <w:rPr>
          <w:rFonts w:ascii="Times New Roman" w:hAnsi="Times New Roman" w:cs="Courier New"/>
          <w:sz w:val="24"/>
          <w:szCs w:val="24"/>
        </w:rPr>
        <w:t>, även om det är möjligt att deras roll bara består av distribution av gåvorna</w:t>
      </w:r>
      <w:r w:rsidR="00450CD1" w:rsidRPr="007B0ED8">
        <w:rPr>
          <w:rFonts w:ascii="Times New Roman" w:hAnsi="Times New Roman" w:cs="Courier New"/>
          <w:sz w:val="24"/>
          <w:szCs w:val="24"/>
        </w:rPr>
        <w:t>.</w:t>
      </w:r>
    </w:p>
    <w:p w:rsidR="00560B10" w:rsidRPr="007B0ED8" w:rsidRDefault="00560B10" w:rsidP="00CD45C1">
      <w:pPr>
        <w:autoSpaceDE w:val="0"/>
        <w:autoSpaceDN w:val="0"/>
        <w:adjustRightInd w:val="0"/>
        <w:spacing w:after="0" w:line="240" w:lineRule="auto"/>
        <w:rPr>
          <w:rFonts w:ascii="Times New Roman" w:hAnsi="Times New Roman" w:cs="Courier New"/>
          <w:sz w:val="24"/>
          <w:szCs w:val="24"/>
        </w:rPr>
      </w:pPr>
    </w:p>
    <w:p w:rsidR="005A23D8" w:rsidRPr="007B0ED8" w:rsidRDefault="00450CD1" w:rsidP="00CD45C1">
      <w:pPr>
        <w:autoSpaceDE w:val="0"/>
        <w:autoSpaceDN w:val="0"/>
        <w:adjustRightInd w:val="0"/>
        <w:spacing w:after="0" w:line="240" w:lineRule="auto"/>
        <w:rPr>
          <w:rFonts w:ascii="Times New Roman" w:hAnsi="Times New Roman" w:cs="Courier New"/>
          <w:sz w:val="24"/>
          <w:szCs w:val="24"/>
        </w:rPr>
      </w:pPr>
      <w:proofErr w:type="spellStart"/>
      <w:r w:rsidRPr="007B0ED8">
        <w:rPr>
          <w:rFonts w:ascii="Times New Roman" w:hAnsi="Times New Roman" w:cs="Courier New"/>
          <w:sz w:val="24"/>
          <w:szCs w:val="24"/>
        </w:rPr>
        <w:t>Horion</w:t>
      </w:r>
      <w:proofErr w:type="spellEnd"/>
      <w:r w:rsidRPr="007B0ED8">
        <w:rPr>
          <w:rFonts w:ascii="Times New Roman" w:hAnsi="Times New Roman" w:cs="Courier New"/>
          <w:sz w:val="24"/>
          <w:szCs w:val="24"/>
        </w:rPr>
        <w:t xml:space="preserve"> vill att Hor ska bekräfta</w:t>
      </w:r>
      <w:r w:rsidR="006108B8" w:rsidRPr="007B0ED8">
        <w:rPr>
          <w:rFonts w:ascii="Times New Roman" w:hAnsi="Times New Roman" w:cs="Courier New"/>
          <w:sz w:val="24"/>
          <w:szCs w:val="24"/>
        </w:rPr>
        <w:t xml:space="preserve"> när han </w:t>
      </w:r>
      <w:r w:rsidRPr="007B0ED8">
        <w:rPr>
          <w:rFonts w:ascii="Times New Roman" w:hAnsi="Times New Roman" w:cs="Courier New"/>
          <w:sz w:val="24"/>
          <w:szCs w:val="24"/>
        </w:rPr>
        <w:t>mottagit varorna. Det</w:t>
      </w:r>
      <w:r w:rsidR="00CE4245" w:rsidRPr="007B0ED8">
        <w:rPr>
          <w:rFonts w:ascii="Times New Roman" w:hAnsi="Times New Roman" w:cs="Courier New"/>
          <w:sz w:val="24"/>
          <w:szCs w:val="24"/>
        </w:rPr>
        <w:t>t</w:t>
      </w:r>
      <w:r w:rsidRPr="007B0ED8">
        <w:rPr>
          <w:rFonts w:ascii="Times New Roman" w:hAnsi="Times New Roman" w:cs="Courier New"/>
          <w:sz w:val="24"/>
          <w:szCs w:val="24"/>
        </w:rPr>
        <w:t xml:space="preserve">a ska ske skriftligt och vi måste anta att det </w:t>
      </w:r>
      <w:r w:rsidR="00CE4245" w:rsidRPr="007B0ED8">
        <w:rPr>
          <w:rFonts w:ascii="Times New Roman" w:hAnsi="Times New Roman" w:cs="Courier New"/>
          <w:sz w:val="24"/>
          <w:szCs w:val="24"/>
        </w:rPr>
        <w:t xml:space="preserve">är fråga om planering som är mycket viktig och som berör en begivenhet som ligger ett stycke fram i tiden. Det gör att vi har anledning att tolka notiserna i KAB som att de syftar på en måltid som firas vid ungefär samma tidpunkt varje år. Planeringen av agapen påbörjas ju i god tid av </w:t>
      </w:r>
      <w:proofErr w:type="spellStart"/>
      <w:r w:rsidR="00CE4245" w:rsidRPr="007B0ED8">
        <w:rPr>
          <w:rFonts w:ascii="Times New Roman" w:hAnsi="Times New Roman" w:cs="Courier New"/>
          <w:sz w:val="24"/>
          <w:szCs w:val="24"/>
        </w:rPr>
        <w:t>Horio</w:t>
      </w:r>
      <w:r w:rsidR="006108B8" w:rsidRPr="007B0ED8">
        <w:rPr>
          <w:rFonts w:ascii="Times New Roman" w:hAnsi="Times New Roman" w:cs="Courier New"/>
          <w:sz w:val="24"/>
          <w:szCs w:val="24"/>
        </w:rPr>
        <w:t>n</w:t>
      </w:r>
      <w:proofErr w:type="spellEnd"/>
      <w:r w:rsidR="006108B8" w:rsidRPr="007B0ED8">
        <w:rPr>
          <w:rFonts w:ascii="Times New Roman" w:hAnsi="Times New Roman" w:cs="Courier New"/>
          <w:sz w:val="24"/>
          <w:szCs w:val="24"/>
        </w:rPr>
        <w:t>, så även om en notis i KAB hä</w:t>
      </w:r>
      <w:r w:rsidR="00CE4245" w:rsidRPr="007B0ED8">
        <w:rPr>
          <w:rFonts w:ascii="Times New Roman" w:hAnsi="Times New Roman" w:cs="Courier New"/>
          <w:sz w:val="24"/>
          <w:szCs w:val="24"/>
        </w:rPr>
        <w:t>rrör från det som vi skulle kalla januari, kan transaktionen mycket väl vara knuten till en agape som firas senare. Utifr</w:t>
      </w:r>
      <w:r w:rsidR="007D1444" w:rsidRPr="007B0ED8">
        <w:rPr>
          <w:rFonts w:ascii="Times New Roman" w:hAnsi="Times New Roman" w:cs="Courier New"/>
          <w:sz w:val="24"/>
          <w:szCs w:val="24"/>
        </w:rPr>
        <w:t>å</w:t>
      </w:r>
      <w:r w:rsidR="00CE4245" w:rsidRPr="007B0ED8">
        <w:rPr>
          <w:rFonts w:ascii="Times New Roman" w:hAnsi="Times New Roman" w:cs="Courier New"/>
          <w:sz w:val="24"/>
          <w:szCs w:val="24"/>
        </w:rPr>
        <w:t xml:space="preserve">n KAB är det ett tidsintervall från januari till april som vi har att göra med. Att det är fråga om en högtid snarare än av flera är enligt mig det troligaste, </w:t>
      </w:r>
      <w:proofErr w:type="gramStart"/>
      <w:r w:rsidR="00CE4245" w:rsidRPr="007B0ED8">
        <w:rPr>
          <w:rFonts w:ascii="Times New Roman" w:hAnsi="Times New Roman" w:cs="Courier New"/>
          <w:sz w:val="24"/>
          <w:szCs w:val="24"/>
        </w:rPr>
        <w:t>ehuru</w:t>
      </w:r>
      <w:proofErr w:type="gramEnd"/>
      <w:r w:rsidR="00CE4245" w:rsidRPr="007B0ED8">
        <w:rPr>
          <w:rFonts w:ascii="Times New Roman" w:hAnsi="Times New Roman" w:cs="Courier New"/>
          <w:sz w:val="24"/>
          <w:szCs w:val="24"/>
        </w:rPr>
        <w:t xml:space="preserve"> inte det enda alternativet. För att komma fram till en </w:t>
      </w:r>
      <w:r w:rsidR="00743905" w:rsidRPr="007B0ED8">
        <w:rPr>
          <w:rFonts w:ascii="Times New Roman" w:hAnsi="Times New Roman" w:cs="Courier New"/>
          <w:sz w:val="24"/>
          <w:szCs w:val="24"/>
        </w:rPr>
        <w:t xml:space="preserve">något </w:t>
      </w:r>
      <w:r w:rsidR="00CE4245" w:rsidRPr="007B0ED8">
        <w:rPr>
          <w:rFonts w:ascii="Times New Roman" w:hAnsi="Times New Roman" w:cs="Courier New"/>
          <w:sz w:val="24"/>
          <w:szCs w:val="24"/>
        </w:rPr>
        <w:t>säkrare slutsats ska vi försöka oss på a</w:t>
      </w:r>
      <w:r w:rsidR="005A23D8" w:rsidRPr="007B0ED8">
        <w:rPr>
          <w:rFonts w:ascii="Times New Roman" w:hAnsi="Times New Roman" w:cs="Courier New"/>
          <w:sz w:val="24"/>
          <w:szCs w:val="24"/>
        </w:rPr>
        <w:t>t</w:t>
      </w:r>
      <w:r w:rsidR="00CE4245" w:rsidRPr="007B0ED8">
        <w:rPr>
          <w:rFonts w:ascii="Times New Roman" w:hAnsi="Times New Roman" w:cs="Courier New"/>
          <w:sz w:val="24"/>
          <w:szCs w:val="24"/>
        </w:rPr>
        <w:t>t se hur omfattande investeringarna i agapen kan ha varit. Om de är omfattande minskar rimligtvis sannolikheten för att många olika sådana högtider skulle firas inom loppet av några få månader.</w:t>
      </w:r>
    </w:p>
    <w:p w:rsidR="00743905" w:rsidRPr="007B0ED8" w:rsidRDefault="00743905" w:rsidP="00CD45C1">
      <w:pPr>
        <w:autoSpaceDE w:val="0"/>
        <w:autoSpaceDN w:val="0"/>
        <w:adjustRightInd w:val="0"/>
        <w:spacing w:after="0" w:line="240" w:lineRule="auto"/>
        <w:rPr>
          <w:rFonts w:ascii="Times New Roman" w:hAnsi="Times New Roman" w:cs="Courier New"/>
          <w:sz w:val="24"/>
          <w:szCs w:val="24"/>
        </w:rPr>
      </w:pPr>
    </w:p>
    <w:p w:rsidR="007D1444" w:rsidRPr="007B0ED8" w:rsidRDefault="00AD747D"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Den mest exakta ekonomiska uppgi</w:t>
      </w:r>
      <w:r w:rsidR="009613BA" w:rsidRPr="007B0ED8">
        <w:rPr>
          <w:rFonts w:ascii="Times New Roman" w:hAnsi="Times New Roman" w:cs="Courier New"/>
          <w:sz w:val="24"/>
          <w:szCs w:val="24"/>
        </w:rPr>
        <w:t>f</w:t>
      </w:r>
      <w:r w:rsidRPr="007B0ED8">
        <w:rPr>
          <w:rFonts w:ascii="Times New Roman" w:hAnsi="Times New Roman" w:cs="Courier New"/>
          <w:sz w:val="24"/>
          <w:szCs w:val="24"/>
        </w:rPr>
        <w:t xml:space="preserve">ten i Kell. </w:t>
      </w:r>
      <w:proofErr w:type="spellStart"/>
      <w:r w:rsidRPr="007B0ED8">
        <w:rPr>
          <w:rFonts w:ascii="Times New Roman" w:hAnsi="Times New Roman" w:cs="Courier New"/>
          <w:sz w:val="24"/>
          <w:szCs w:val="24"/>
        </w:rPr>
        <w:t>Copt</w:t>
      </w:r>
      <w:proofErr w:type="spellEnd"/>
      <w:r w:rsidRPr="007B0ED8">
        <w:rPr>
          <w:rFonts w:ascii="Times New Roman" w:hAnsi="Times New Roman" w:cs="Courier New"/>
          <w:sz w:val="24"/>
          <w:szCs w:val="24"/>
        </w:rPr>
        <w:t xml:space="preserve">. 15 är 705 </w:t>
      </w:r>
      <w:proofErr w:type="spellStart"/>
      <w:r w:rsidRPr="007B0ED8">
        <w:rPr>
          <w:rFonts w:ascii="Times New Roman" w:hAnsi="Times New Roman" w:cs="Courier New"/>
          <w:sz w:val="24"/>
          <w:szCs w:val="24"/>
        </w:rPr>
        <w:t>nummi</w:t>
      </w:r>
      <w:proofErr w:type="spellEnd"/>
      <w:r w:rsidR="009613BA" w:rsidRPr="007B0ED8">
        <w:rPr>
          <w:rFonts w:ascii="Times New Roman" w:hAnsi="Times New Roman" w:cs="Courier New"/>
          <w:sz w:val="24"/>
          <w:szCs w:val="24"/>
        </w:rPr>
        <w:t xml:space="preserve"> för vete. Att man helt plötsligt går från talenter till </w:t>
      </w:r>
      <w:proofErr w:type="spellStart"/>
      <w:r w:rsidR="009613BA" w:rsidRPr="007B0ED8">
        <w:rPr>
          <w:rFonts w:ascii="Times New Roman" w:hAnsi="Times New Roman" w:cs="Courier New"/>
          <w:sz w:val="24"/>
          <w:szCs w:val="24"/>
        </w:rPr>
        <w:t>nummi</w:t>
      </w:r>
      <w:proofErr w:type="spellEnd"/>
      <w:r w:rsidR="009613BA" w:rsidRPr="007B0ED8">
        <w:rPr>
          <w:rFonts w:ascii="Times New Roman" w:hAnsi="Times New Roman" w:cs="Courier New"/>
          <w:sz w:val="24"/>
          <w:szCs w:val="24"/>
        </w:rPr>
        <w:t xml:space="preserve"> beror på att talenter vid den här tiden snarast fungerade som en prisenhet än som eget mynt.</w:t>
      </w:r>
      <w:r w:rsidR="009613BA" w:rsidRPr="007B0ED8">
        <w:rPr>
          <w:rStyle w:val="Fotnotsreferens"/>
          <w:rFonts w:ascii="Times New Roman" w:hAnsi="Times New Roman" w:cs="Courier New"/>
          <w:sz w:val="24"/>
          <w:szCs w:val="24"/>
        </w:rPr>
        <w:footnoteReference w:id="80"/>
      </w:r>
      <w:r w:rsidR="00955346" w:rsidRPr="007B0ED8">
        <w:rPr>
          <w:rFonts w:ascii="Times New Roman" w:hAnsi="Times New Roman" w:cs="Courier New"/>
          <w:sz w:val="24"/>
          <w:szCs w:val="24"/>
        </w:rPr>
        <w:t xml:space="preserve"> </w:t>
      </w:r>
      <w:r w:rsidR="00AF117D" w:rsidRPr="007B0ED8">
        <w:rPr>
          <w:rFonts w:ascii="Times New Roman" w:hAnsi="Times New Roman" w:cs="Courier New"/>
          <w:sz w:val="24"/>
          <w:szCs w:val="24"/>
        </w:rPr>
        <w:t xml:space="preserve">Då talenter är den vanligare prisenheten bör vi först se på relationen mellan </w:t>
      </w:r>
      <w:proofErr w:type="spellStart"/>
      <w:r w:rsidR="00AF117D" w:rsidRPr="007B0ED8">
        <w:rPr>
          <w:rFonts w:ascii="Times New Roman" w:hAnsi="Times New Roman" w:cs="Courier New"/>
          <w:sz w:val="24"/>
          <w:szCs w:val="24"/>
        </w:rPr>
        <w:t>nummi</w:t>
      </w:r>
      <w:proofErr w:type="spellEnd"/>
      <w:r w:rsidR="00AF117D" w:rsidRPr="007B0ED8">
        <w:rPr>
          <w:rFonts w:ascii="Times New Roman" w:hAnsi="Times New Roman" w:cs="Courier New"/>
          <w:sz w:val="24"/>
          <w:szCs w:val="24"/>
        </w:rPr>
        <w:t xml:space="preserve"> och talenter. Maje, eller </w:t>
      </w:r>
      <w:proofErr w:type="spellStart"/>
      <w:r w:rsidR="00AF117D" w:rsidRPr="007B0ED8">
        <w:rPr>
          <w:rFonts w:ascii="Times New Roman" w:hAnsi="Times New Roman" w:cs="Courier New"/>
          <w:sz w:val="24"/>
          <w:szCs w:val="24"/>
        </w:rPr>
        <w:t>mation</w:t>
      </w:r>
      <w:proofErr w:type="spellEnd"/>
      <w:r w:rsidR="00AF117D" w:rsidRPr="007B0ED8">
        <w:rPr>
          <w:rFonts w:ascii="Times New Roman" w:hAnsi="Times New Roman" w:cs="Courier New"/>
          <w:sz w:val="24"/>
          <w:szCs w:val="24"/>
        </w:rPr>
        <w:t xml:space="preserve"> är ett lite oprecist mått. Vanligtvis räknade man med att det var en tiondels </w:t>
      </w:r>
      <w:proofErr w:type="spellStart"/>
      <w:r w:rsidR="00AF117D" w:rsidRPr="007B0ED8">
        <w:rPr>
          <w:rFonts w:ascii="Times New Roman" w:hAnsi="Times New Roman" w:cs="Courier New"/>
          <w:sz w:val="24"/>
          <w:szCs w:val="24"/>
        </w:rPr>
        <w:t>artaba</w:t>
      </w:r>
      <w:proofErr w:type="spellEnd"/>
      <w:r w:rsidR="00AF117D" w:rsidRPr="007B0ED8">
        <w:rPr>
          <w:rFonts w:ascii="Times New Roman" w:hAnsi="Times New Roman" w:cs="Courier New"/>
          <w:sz w:val="24"/>
          <w:szCs w:val="24"/>
        </w:rPr>
        <w:t>. Emellertid verkar man i KAB också hållit sig med varianter av maje/</w:t>
      </w:r>
      <w:proofErr w:type="spellStart"/>
      <w:r w:rsidR="00AF117D" w:rsidRPr="007B0ED8">
        <w:rPr>
          <w:rFonts w:ascii="Times New Roman" w:hAnsi="Times New Roman" w:cs="Courier New"/>
          <w:sz w:val="24"/>
          <w:szCs w:val="24"/>
        </w:rPr>
        <w:t>mation</w:t>
      </w:r>
      <w:proofErr w:type="spellEnd"/>
      <w:r w:rsidR="00AF117D" w:rsidRPr="007B0ED8">
        <w:rPr>
          <w:rFonts w:ascii="Times New Roman" w:hAnsi="Times New Roman" w:cs="Courier New"/>
          <w:sz w:val="24"/>
          <w:szCs w:val="24"/>
        </w:rPr>
        <w:t xml:space="preserve">, stora och små dito. Men vi utgår här ifrån den vanligaste relationen mellan maje och </w:t>
      </w:r>
      <w:proofErr w:type="spellStart"/>
      <w:r w:rsidR="00AF117D" w:rsidRPr="007B0ED8">
        <w:rPr>
          <w:rFonts w:ascii="Times New Roman" w:hAnsi="Times New Roman" w:cs="Courier New"/>
          <w:sz w:val="24"/>
          <w:szCs w:val="24"/>
        </w:rPr>
        <w:t>artaba</w:t>
      </w:r>
      <w:proofErr w:type="spellEnd"/>
      <w:r w:rsidR="00AF117D" w:rsidRPr="007B0ED8">
        <w:rPr>
          <w:rFonts w:ascii="Times New Roman" w:hAnsi="Times New Roman" w:cs="Courier New"/>
          <w:sz w:val="24"/>
          <w:szCs w:val="24"/>
        </w:rPr>
        <w:t>.</w:t>
      </w:r>
      <w:r w:rsidR="00AF117D" w:rsidRPr="007B0ED8">
        <w:rPr>
          <w:rStyle w:val="Fotnotsreferens"/>
          <w:rFonts w:ascii="Times New Roman" w:hAnsi="Times New Roman" w:cs="Courier New"/>
          <w:sz w:val="24"/>
          <w:szCs w:val="24"/>
        </w:rPr>
        <w:footnoteReference w:id="81"/>
      </w:r>
      <w:r w:rsidR="002822A0" w:rsidRPr="007B0ED8">
        <w:rPr>
          <w:rFonts w:ascii="Times New Roman" w:hAnsi="Times New Roman" w:cs="Courier New"/>
          <w:sz w:val="24"/>
          <w:szCs w:val="24"/>
        </w:rPr>
        <w:t xml:space="preserve"> Då skulle priset för en maje vara 120 talenter eftersom man köper till priset 1200 talenter per </w:t>
      </w:r>
      <w:proofErr w:type="spellStart"/>
      <w:r w:rsidR="002822A0" w:rsidRPr="007B0ED8">
        <w:rPr>
          <w:rFonts w:ascii="Times New Roman" w:hAnsi="Times New Roman" w:cs="Courier New"/>
          <w:sz w:val="24"/>
          <w:szCs w:val="24"/>
        </w:rPr>
        <w:t>artaba</w:t>
      </w:r>
      <w:proofErr w:type="spellEnd"/>
      <w:r w:rsidR="002822A0" w:rsidRPr="007B0ED8">
        <w:rPr>
          <w:rFonts w:ascii="Times New Roman" w:hAnsi="Times New Roman" w:cs="Courier New"/>
          <w:sz w:val="24"/>
          <w:szCs w:val="24"/>
        </w:rPr>
        <w:t xml:space="preserve">. 6 maje skulle då kosta 720 talenter. </w:t>
      </w:r>
      <w:proofErr w:type="spellStart"/>
      <w:r w:rsidR="002822A0" w:rsidRPr="007B0ED8">
        <w:rPr>
          <w:rFonts w:ascii="Times New Roman" w:hAnsi="Times New Roman" w:cs="Courier New"/>
          <w:sz w:val="24"/>
          <w:szCs w:val="24"/>
        </w:rPr>
        <w:t>Nummin</w:t>
      </w:r>
      <w:proofErr w:type="spellEnd"/>
      <w:r w:rsidR="002822A0" w:rsidRPr="007B0ED8">
        <w:rPr>
          <w:rFonts w:ascii="Times New Roman" w:hAnsi="Times New Roman" w:cs="Courier New"/>
          <w:sz w:val="24"/>
          <w:szCs w:val="24"/>
        </w:rPr>
        <w:t xml:space="preserve"> verkar därför vara något mer värd än en talent.</w:t>
      </w:r>
    </w:p>
    <w:p w:rsidR="001F6523" w:rsidRPr="007B0ED8" w:rsidRDefault="005535EA"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För att vi ska få en uppfattning om hur mycket arbete det kunde krävas för att få ihop 720 talenter tar vi hjälp av de oerhört intre</w:t>
      </w:r>
      <w:r w:rsidR="00E252F8" w:rsidRPr="007B0ED8">
        <w:rPr>
          <w:rFonts w:ascii="Times New Roman" w:hAnsi="Times New Roman" w:cs="Courier New"/>
          <w:sz w:val="24"/>
          <w:szCs w:val="24"/>
        </w:rPr>
        <w:t>s</w:t>
      </w:r>
      <w:r w:rsidRPr="007B0ED8">
        <w:rPr>
          <w:rFonts w:ascii="Times New Roman" w:hAnsi="Times New Roman" w:cs="Courier New"/>
          <w:sz w:val="24"/>
          <w:szCs w:val="24"/>
        </w:rPr>
        <w:t>santa affärsdok</w:t>
      </w:r>
      <w:r w:rsidR="00C51154" w:rsidRPr="007B0ED8">
        <w:rPr>
          <w:rFonts w:ascii="Times New Roman" w:hAnsi="Times New Roman" w:cs="Courier New"/>
          <w:sz w:val="24"/>
          <w:szCs w:val="24"/>
        </w:rPr>
        <w:t>u</w:t>
      </w:r>
      <w:r w:rsidRPr="007B0ED8">
        <w:rPr>
          <w:rFonts w:ascii="Times New Roman" w:hAnsi="Times New Roman" w:cs="Courier New"/>
          <w:sz w:val="24"/>
          <w:szCs w:val="24"/>
        </w:rPr>
        <w:t xml:space="preserve">ment som vi också har i Kell. </w:t>
      </w:r>
      <w:proofErr w:type="spellStart"/>
      <w:r w:rsidRPr="007B0ED8">
        <w:rPr>
          <w:rFonts w:ascii="Times New Roman" w:hAnsi="Times New Roman" w:cs="Courier New"/>
          <w:sz w:val="24"/>
          <w:szCs w:val="24"/>
        </w:rPr>
        <w:t>Copt</w:t>
      </w:r>
      <w:proofErr w:type="spellEnd"/>
      <w:r w:rsidRPr="007B0ED8">
        <w:rPr>
          <w:rFonts w:ascii="Times New Roman" w:hAnsi="Times New Roman" w:cs="Courier New"/>
          <w:sz w:val="24"/>
          <w:szCs w:val="24"/>
        </w:rPr>
        <w:t>.</w:t>
      </w:r>
      <w:r w:rsidR="00C51154" w:rsidRPr="007B0ED8">
        <w:rPr>
          <w:rFonts w:ascii="Times New Roman" w:hAnsi="Times New Roman" w:cs="Courier New"/>
          <w:sz w:val="24"/>
          <w:szCs w:val="24"/>
        </w:rPr>
        <w:t xml:space="preserve"> </w:t>
      </w:r>
    </w:p>
    <w:p w:rsidR="001F6523" w:rsidRPr="007B0ED8" w:rsidRDefault="001F6523" w:rsidP="00CD45C1">
      <w:pPr>
        <w:autoSpaceDE w:val="0"/>
        <w:autoSpaceDN w:val="0"/>
        <w:adjustRightInd w:val="0"/>
        <w:spacing w:after="0" w:line="240" w:lineRule="auto"/>
        <w:rPr>
          <w:rFonts w:ascii="Times New Roman" w:hAnsi="Times New Roman" w:cs="Courier New"/>
          <w:sz w:val="24"/>
          <w:szCs w:val="24"/>
        </w:rPr>
      </w:pPr>
    </w:p>
    <w:p w:rsidR="006108B8" w:rsidRPr="007B0ED8" w:rsidRDefault="00C51154"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I Kell. </w:t>
      </w:r>
      <w:proofErr w:type="spellStart"/>
      <w:r w:rsidRPr="007B0ED8">
        <w:rPr>
          <w:rFonts w:ascii="Times New Roman" w:hAnsi="Times New Roman" w:cs="Courier New"/>
          <w:sz w:val="24"/>
          <w:szCs w:val="24"/>
        </w:rPr>
        <w:t>Copt</w:t>
      </w:r>
      <w:proofErr w:type="spellEnd"/>
      <w:r w:rsidRPr="007B0ED8">
        <w:rPr>
          <w:rFonts w:ascii="Times New Roman" w:hAnsi="Times New Roman" w:cs="Courier New"/>
          <w:sz w:val="24"/>
          <w:szCs w:val="24"/>
        </w:rPr>
        <w:t>. 48 får vi uppgiften att man förväntar sig 800, sannolikt talenter, för 13 dagars vävning. Antalet dagar verkar vara satt något i underkant då man också talar om förberedelsetid utöver d</w:t>
      </w:r>
      <w:r w:rsidR="003E7A52" w:rsidRPr="007B0ED8">
        <w:rPr>
          <w:rFonts w:ascii="Times New Roman" w:hAnsi="Times New Roman" w:cs="Courier New"/>
          <w:sz w:val="24"/>
          <w:szCs w:val="24"/>
        </w:rPr>
        <w:t>e</w:t>
      </w:r>
      <w:r w:rsidRPr="007B0ED8">
        <w:rPr>
          <w:rFonts w:ascii="Times New Roman" w:hAnsi="Times New Roman" w:cs="Courier New"/>
          <w:sz w:val="24"/>
          <w:szCs w:val="24"/>
        </w:rPr>
        <w:t xml:space="preserve">ssa 13 dagar. Det kan alltså i verkligheten vara ett större </w:t>
      </w:r>
    </w:p>
    <w:p w:rsidR="007D1444" w:rsidRPr="007B0ED8" w:rsidRDefault="00C51154" w:rsidP="00CD45C1">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antal arbetsdagar som krävdes för att få ihop de 800 talenterna. </w:t>
      </w:r>
      <w:r w:rsidR="003E7A52" w:rsidRPr="007B0ED8">
        <w:rPr>
          <w:rFonts w:ascii="Times New Roman" w:hAnsi="Times New Roman" w:cs="Courier New"/>
          <w:sz w:val="24"/>
          <w:szCs w:val="24"/>
        </w:rPr>
        <w:t xml:space="preserve">Utifrån det ofta svårtolkade brevet gissar jag att vi har att göra med en affärskvinna som måste vara mer noga med hur hon beräknar arbetstid för andra än för hur mycket tid hon själv lägger ned i sitt företag. Det gör att vi har god anledning att anta att de 720 talenter som behövs för vetet i Kell. </w:t>
      </w:r>
      <w:proofErr w:type="spellStart"/>
      <w:r w:rsidR="003E7A52" w:rsidRPr="007B0ED8">
        <w:rPr>
          <w:rFonts w:ascii="Times New Roman" w:hAnsi="Times New Roman" w:cs="Courier New"/>
          <w:sz w:val="24"/>
          <w:szCs w:val="24"/>
        </w:rPr>
        <w:t>Copt</w:t>
      </w:r>
      <w:proofErr w:type="spellEnd"/>
      <w:r w:rsidR="003E7A52" w:rsidRPr="007B0ED8">
        <w:rPr>
          <w:rFonts w:ascii="Times New Roman" w:hAnsi="Times New Roman" w:cs="Courier New"/>
          <w:sz w:val="24"/>
          <w:szCs w:val="24"/>
        </w:rPr>
        <w:t>. 15 skulle krävt 14 dagars arbete för en väverska att jobba</w:t>
      </w:r>
      <w:r w:rsidR="003B0704" w:rsidRPr="007B0ED8">
        <w:rPr>
          <w:rFonts w:ascii="Times New Roman" w:hAnsi="Times New Roman" w:cs="Courier New"/>
          <w:sz w:val="24"/>
          <w:szCs w:val="24"/>
        </w:rPr>
        <w:t xml:space="preserve"> </w:t>
      </w:r>
      <w:r w:rsidR="00E252F8" w:rsidRPr="007B0ED8">
        <w:rPr>
          <w:rFonts w:ascii="Times New Roman" w:hAnsi="Times New Roman" w:cs="Courier New"/>
          <w:sz w:val="24"/>
          <w:szCs w:val="24"/>
        </w:rPr>
        <w:t>ihop. I prakti</w:t>
      </w:r>
      <w:r w:rsidR="003E7A52" w:rsidRPr="007B0ED8">
        <w:rPr>
          <w:rFonts w:ascii="Times New Roman" w:hAnsi="Times New Roman" w:cs="Courier New"/>
          <w:sz w:val="24"/>
          <w:szCs w:val="24"/>
        </w:rPr>
        <w:t xml:space="preserve">ken skulle det givetvis fordrats mer tid då </w:t>
      </w:r>
      <w:r w:rsidR="003B0704" w:rsidRPr="007B0ED8">
        <w:rPr>
          <w:rFonts w:ascii="Times New Roman" w:hAnsi="Times New Roman" w:cs="Courier New"/>
          <w:sz w:val="24"/>
          <w:szCs w:val="24"/>
        </w:rPr>
        <w:t xml:space="preserve">summan ju är det antal talenter </w:t>
      </w:r>
      <w:r w:rsidR="003E7A52" w:rsidRPr="007B0ED8">
        <w:rPr>
          <w:rFonts w:ascii="Times New Roman" w:hAnsi="Times New Roman" w:cs="Courier New"/>
          <w:sz w:val="24"/>
          <w:szCs w:val="24"/>
        </w:rPr>
        <w:t>som man kan lägga åt sidan då alla andra utgifter betal</w:t>
      </w:r>
      <w:r w:rsidR="007D1444" w:rsidRPr="007B0ED8">
        <w:rPr>
          <w:rFonts w:ascii="Times New Roman" w:hAnsi="Times New Roman" w:cs="Courier New"/>
          <w:sz w:val="24"/>
          <w:szCs w:val="24"/>
        </w:rPr>
        <w:t>ts</w:t>
      </w:r>
      <w:r w:rsidR="003E7A52" w:rsidRPr="007B0ED8">
        <w:rPr>
          <w:rFonts w:ascii="Times New Roman" w:hAnsi="Times New Roman" w:cs="Courier New"/>
          <w:sz w:val="24"/>
          <w:szCs w:val="24"/>
        </w:rPr>
        <w:t>.</w:t>
      </w:r>
    </w:p>
    <w:p w:rsidR="006D1F06" w:rsidRPr="007B0ED8" w:rsidRDefault="006D1F06" w:rsidP="00CD45C1">
      <w:pPr>
        <w:autoSpaceDE w:val="0"/>
        <w:autoSpaceDN w:val="0"/>
        <w:adjustRightInd w:val="0"/>
        <w:spacing w:after="0" w:line="240" w:lineRule="auto"/>
        <w:rPr>
          <w:rFonts w:ascii="Times New Roman" w:hAnsi="Times New Roman" w:cs="Courier New"/>
          <w:sz w:val="24"/>
          <w:szCs w:val="24"/>
        </w:rPr>
      </w:pPr>
    </w:p>
    <w:p w:rsidR="007D1444" w:rsidRPr="007B0ED8" w:rsidRDefault="003E7A52" w:rsidP="007D1444">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Utifrån detta måste vi dra slutsatsen att den agapemåltid som vi möter planeringen av i Kell. </w:t>
      </w:r>
      <w:proofErr w:type="spellStart"/>
      <w:r w:rsidRPr="007B0ED8">
        <w:rPr>
          <w:rFonts w:ascii="Times New Roman" w:hAnsi="Times New Roman" w:cs="Courier New"/>
          <w:sz w:val="24"/>
          <w:szCs w:val="24"/>
        </w:rPr>
        <w:t>Copt</w:t>
      </w:r>
      <w:proofErr w:type="spellEnd"/>
      <w:r w:rsidRPr="007B0ED8">
        <w:rPr>
          <w:rFonts w:ascii="Times New Roman" w:hAnsi="Times New Roman" w:cs="Courier New"/>
          <w:sz w:val="24"/>
          <w:szCs w:val="24"/>
        </w:rPr>
        <w:t xml:space="preserve">. 15 varit en dyr historia som krävt insatser av många personer. Vi vet ju inget om hur mycket olja som rymdes i en </w:t>
      </w:r>
      <w:proofErr w:type="spellStart"/>
      <w:r w:rsidRPr="007B0ED8">
        <w:rPr>
          <w:rFonts w:ascii="Times New Roman" w:hAnsi="Times New Roman" w:cs="Courier New"/>
          <w:sz w:val="24"/>
          <w:szCs w:val="24"/>
        </w:rPr>
        <w:t>agon</w:t>
      </w:r>
      <w:proofErr w:type="spellEnd"/>
      <w:r w:rsidRPr="007B0ED8">
        <w:rPr>
          <w:rFonts w:ascii="Times New Roman" w:hAnsi="Times New Roman" w:cs="Courier New"/>
          <w:sz w:val="24"/>
          <w:szCs w:val="24"/>
        </w:rPr>
        <w:t xml:space="preserve">, </w:t>
      </w:r>
      <w:proofErr w:type="gramStart"/>
      <w:r w:rsidRPr="007B0ED8">
        <w:rPr>
          <w:rFonts w:ascii="Times New Roman" w:hAnsi="Times New Roman" w:cs="Courier New"/>
          <w:sz w:val="24"/>
          <w:szCs w:val="24"/>
        </w:rPr>
        <w:t>ej</w:t>
      </w:r>
      <w:proofErr w:type="gramEnd"/>
      <w:r w:rsidRPr="007B0ED8">
        <w:rPr>
          <w:rFonts w:ascii="Times New Roman" w:hAnsi="Times New Roman" w:cs="Courier New"/>
          <w:sz w:val="24"/>
          <w:szCs w:val="24"/>
        </w:rPr>
        <w:t xml:space="preserve"> hel</w:t>
      </w:r>
      <w:r w:rsidR="00A43147" w:rsidRPr="007B0ED8">
        <w:rPr>
          <w:rFonts w:ascii="Times New Roman" w:hAnsi="Times New Roman" w:cs="Courier New"/>
          <w:sz w:val="24"/>
          <w:szCs w:val="24"/>
        </w:rPr>
        <w:t>l</w:t>
      </w:r>
      <w:r w:rsidRPr="007B0ED8">
        <w:rPr>
          <w:rFonts w:ascii="Times New Roman" w:hAnsi="Times New Roman" w:cs="Courier New"/>
          <w:sz w:val="24"/>
          <w:szCs w:val="24"/>
        </w:rPr>
        <w:t>er vet vi om det här brevet tar up</w:t>
      </w:r>
      <w:r w:rsidR="00A43147" w:rsidRPr="007B0ED8">
        <w:rPr>
          <w:rFonts w:ascii="Times New Roman" w:hAnsi="Times New Roman" w:cs="Courier New"/>
          <w:sz w:val="24"/>
          <w:szCs w:val="24"/>
        </w:rPr>
        <w:t>p</w:t>
      </w:r>
      <w:r w:rsidRPr="007B0ED8">
        <w:rPr>
          <w:rFonts w:ascii="Times New Roman" w:hAnsi="Times New Roman" w:cs="Courier New"/>
          <w:sz w:val="24"/>
          <w:szCs w:val="24"/>
        </w:rPr>
        <w:t xml:space="preserve"> alla kostnader för agapemåltiden. Det senare finner jag emel</w:t>
      </w:r>
      <w:r w:rsidR="00A43147" w:rsidRPr="007B0ED8">
        <w:rPr>
          <w:rFonts w:ascii="Times New Roman" w:hAnsi="Times New Roman" w:cs="Courier New"/>
          <w:sz w:val="24"/>
          <w:szCs w:val="24"/>
        </w:rPr>
        <w:t>l</w:t>
      </w:r>
      <w:r w:rsidRPr="007B0ED8">
        <w:rPr>
          <w:rFonts w:ascii="Times New Roman" w:hAnsi="Times New Roman" w:cs="Courier New"/>
          <w:sz w:val="24"/>
          <w:szCs w:val="24"/>
        </w:rPr>
        <w:t>ertid m</w:t>
      </w:r>
      <w:r w:rsidR="00A43147" w:rsidRPr="007B0ED8">
        <w:rPr>
          <w:rFonts w:ascii="Times New Roman" w:hAnsi="Times New Roman" w:cs="Courier New"/>
          <w:sz w:val="24"/>
          <w:szCs w:val="24"/>
        </w:rPr>
        <w:t>i</w:t>
      </w:r>
      <w:r w:rsidRPr="007B0ED8">
        <w:rPr>
          <w:rFonts w:ascii="Times New Roman" w:hAnsi="Times New Roman" w:cs="Courier New"/>
          <w:sz w:val="24"/>
          <w:szCs w:val="24"/>
        </w:rPr>
        <w:t>ndre sannolikt.</w:t>
      </w:r>
      <w:r w:rsidR="006E410B" w:rsidRPr="007B0ED8">
        <w:rPr>
          <w:rFonts w:ascii="Times New Roman" w:hAnsi="Times New Roman" w:cs="Courier New"/>
          <w:sz w:val="24"/>
          <w:szCs w:val="24"/>
        </w:rPr>
        <w:t xml:space="preserve"> I Kell. </w:t>
      </w:r>
      <w:proofErr w:type="spellStart"/>
      <w:r w:rsidR="006E410B" w:rsidRPr="007B0ED8">
        <w:rPr>
          <w:rFonts w:ascii="Times New Roman" w:hAnsi="Times New Roman" w:cs="Courier New"/>
          <w:sz w:val="24"/>
          <w:szCs w:val="24"/>
        </w:rPr>
        <w:t>Copt</w:t>
      </w:r>
      <w:proofErr w:type="spellEnd"/>
      <w:r w:rsidR="006E410B" w:rsidRPr="007B0ED8">
        <w:rPr>
          <w:rFonts w:ascii="Times New Roman" w:hAnsi="Times New Roman" w:cs="Courier New"/>
          <w:sz w:val="24"/>
          <w:szCs w:val="24"/>
        </w:rPr>
        <w:t xml:space="preserve">. 17 ser vi att </w:t>
      </w:r>
      <w:proofErr w:type="spellStart"/>
      <w:r w:rsidR="006E410B" w:rsidRPr="007B0ED8">
        <w:rPr>
          <w:rFonts w:ascii="Times New Roman" w:hAnsi="Times New Roman" w:cs="Courier New"/>
          <w:sz w:val="24"/>
          <w:szCs w:val="24"/>
        </w:rPr>
        <w:t>Horion</w:t>
      </w:r>
      <w:proofErr w:type="spellEnd"/>
      <w:r w:rsidR="006E410B" w:rsidRPr="007B0ED8">
        <w:rPr>
          <w:rFonts w:ascii="Times New Roman" w:hAnsi="Times New Roman" w:cs="Courier New"/>
          <w:sz w:val="24"/>
          <w:szCs w:val="24"/>
        </w:rPr>
        <w:t xml:space="preserve"> menar att det krävs flera </w:t>
      </w:r>
      <w:proofErr w:type="spellStart"/>
      <w:r w:rsidR="006E410B" w:rsidRPr="007B0ED8">
        <w:rPr>
          <w:rFonts w:ascii="Times New Roman" w:hAnsi="Times New Roman" w:cs="Courier New"/>
          <w:sz w:val="24"/>
          <w:szCs w:val="24"/>
        </w:rPr>
        <w:t>agon</w:t>
      </w:r>
      <w:proofErr w:type="spellEnd"/>
      <w:r w:rsidR="006E410B" w:rsidRPr="007B0ED8">
        <w:rPr>
          <w:rFonts w:ascii="Times New Roman" w:hAnsi="Times New Roman" w:cs="Courier New"/>
          <w:sz w:val="24"/>
          <w:szCs w:val="24"/>
        </w:rPr>
        <w:t xml:space="preserve"> olja för agapen för det är många som ska dela på dem. I Kell. </w:t>
      </w:r>
      <w:proofErr w:type="spellStart"/>
      <w:r w:rsidR="006E410B" w:rsidRPr="007B0ED8">
        <w:rPr>
          <w:rFonts w:ascii="Times New Roman" w:hAnsi="Times New Roman" w:cs="Courier New"/>
          <w:sz w:val="24"/>
          <w:szCs w:val="24"/>
        </w:rPr>
        <w:t>Copt</w:t>
      </w:r>
      <w:proofErr w:type="spellEnd"/>
      <w:r w:rsidR="006E410B" w:rsidRPr="007B0ED8">
        <w:rPr>
          <w:rFonts w:ascii="Times New Roman" w:hAnsi="Times New Roman" w:cs="Courier New"/>
          <w:sz w:val="24"/>
          <w:szCs w:val="24"/>
        </w:rPr>
        <w:t>. 44 har vi en notering om hur en enskild kvinna bidrar med oliver till agapemåltiden. Således formas Bilden av en måltidshögtid som berör många personer och som firas under perioden januari-april.</w:t>
      </w:r>
      <w:r w:rsidR="00F529FB" w:rsidRPr="007B0ED8">
        <w:rPr>
          <w:rFonts w:ascii="Times New Roman" w:hAnsi="Times New Roman" w:cs="Courier New"/>
          <w:sz w:val="24"/>
          <w:szCs w:val="24"/>
        </w:rPr>
        <w:t xml:space="preserve"> </w:t>
      </w:r>
      <w:r w:rsidR="002841EA" w:rsidRPr="007B0ED8">
        <w:rPr>
          <w:rFonts w:ascii="Times New Roman" w:hAnsi="Times New Roman" w:cs="Courier New"/>
          <w:sz w:val="24"/>
          <w:szCs w:val="24"/>
        </w:rPr>
        <w:t>I motsats till vad</w:t>
      </w:r>
      <w:r w:rsidR="00E252F8" w:rsidRPr="007B0ED8">
        <w:rPr>
          <w:rFonts w:ascii="Times New Roman" w:hAnsi="Times New Roman" w:cs="Courier New"/>
          <w:sz w:val="24"/>
          <w:szCs w:val="24"/>
        </w:rPr>
        <w:t xml:space="preserve"> </w:t>
      </w:r>
      <w:r w:rsidR="002841EA" w:rsidRPr="007B0ED8">
        <w:rPr>
          <w:rFonts w:ascii="Times New Roman" w:hAnsi="Times New Roman" w:cs="Courier New"/>
          <w:sz w:val="24"/>
          <w:szCs w:val="24"/>
        </w:rPr>
        <w:t xml:space="preserve">som gjorts gällande finner jag det </w:t>
      </w:r>
      <w:r w:rsidR="00641B85" w:rsidRPr="007B0ED8">
        <w:rPr>
          <w:rFonts w:ascii="Times New Roman" w:hAnsi="Times New Roman" w:cs="Courier New"/>
          <w:sz w:val="24"/>
          <w:szCs w:val="24"/>
        </w:rPr>
        <w:lastRenderedPageBreak/>
        <w:t xml:space="preserve">därför </w:t>
      </w:r>
      <w:r w:rsidR="007D1444" w:rsidRPr="007B0ED8">
        <w:rPr>
          <w:rFonts w:ascii="Times New Roman" w:hAnsi="Times New Roman" w:cs="Courier New"/>
          <w:sz w:val="24"/>
          <w:szCs w:val="24"/>
        </w:rPr>
        <w:t xml:space="preserve">högst osannolikt </w:t>
      </w:r>
      <w:r w:rsidR="002841EA" w:rsidRPr="007B0ED8">
        <w:rPr>
          <w:rFonts w:ascii="Times New Roman" w:hAnsi="Times New Roman" w:cs="Courier New"/>
          <w:sz w:val="24"/>
          <w:szCs w:val="24"/>
        </w:rPr>
        <w:t>att agape i Kellis kan stå för de utvaldas dagliga måltid.</w:t>
      </w:r>
      <w:r w:rsidR="002841EA" w:rsidRPr="007B0ED8">
        <w:rPr>
          <w:rStyle w:val="Fotnotsreferens"/>
          <w:rFonts w:ascii="Times New Roman" w:hAnsi="Times New Roman" w:cs="Courier New"/>
          <w:sz w:val="24"/>
          <w:szCs w:val="24"/>
        </w:rPr>
        <w:footnoteReference w:id="82"/>
      </w:r>
      <w:r w:rsidR="00F529FB" w:rsidRPr="007B0ED8">
        <w:rPr>
          <w:rFonts w:ascii="Times New Roman" w:hAnsi="Times New Roman" w:cs="Courier New"/>
          <w:sz w:val="24"/>
          <w:szCs w:val="24"/>
        </w:rPr>
        <w:t xml:space="preserve"> </w:t>
      </w:r>
      <w:r w:rsidR="007D1444" w:rsidRPr="007B0ED8">
        <w:rPr>
          <w:rFonts w:ascii="Times New Roman" w:hAnsi="Times New Roman" w:cs="Courier New"/>
          <w:sz w:val="24"/>
          <w:szCs w:val="24"/>
        </w:rPr>
        <w:t>L</w:t>
      </w:r>
      <w:r w:rsidR="006E410B" w:rsidRPr="007B0ED8">
        <w:rPr>
          <w:rFonts w:ascii="Times New Roman" w:hAnsi="Times New Roman" w:cs="Courier New"/>
          <w:sz w:val="24"/>
          <w:szCs w:val="24"/>
        </w:rPr>
        <w:t>åt oss nu fundera på vad de</w:t>
      </w:r>
      <w:r w:rsidR="00F529FB" w:rsidRPr="007B0ED8">
        <w:rPr>
          <w:rFonts w:ascii="Times New Roman" w:hAnsi="Times New Roman" w:cs="Courier New"/>
          <w:sz w:val="24"/>
          <w:szCs w:val="24"/>
        </w:rPr>
        <w:t>t</w:t>
      </w:r>
      <w:r w:rsidR="006E410B" w:rsidRPr="007B0ED8">
        <w:rPr>
          <w:rFonts w:ascii="Times New Roman" w:hAnsi="Times New Roman" w:cs="Courier New"/>
          <w:sz w:val="24"/>
          <w:szCs w:val="24"/>
        </w:rPr>
        <w:t xml:space="preserve"> </w:t>
      </w:r>
      <w:r w:rsidR="00F529FB" w:rsidRPr="007B0ED8">
        <w:rPr>
          <w:rFonts w:ascii="Times New Roman" w:hAnsi="Times New Roman" w:cs="Courier New"/>
          <w:sz w:val="24"/>
          <w:szCs w:val="24"/>
        </w:rPr>
        <w:t xml:space="preserve">kan ha varit för </w:t>
      </w:r>
      <w:r w:rsidR="006E410B" w:rsidRPr="007B0ED8">
        <w:rPr>
          <w:rFonts w:ascii="Times New Roman" w:hAnsi="Times New Roman" w:cs="Courier New"/>
          <w:sz w:val="24"/>
          <w:szCs w:val="24"/>
        </w:rPr>
        <w:t>högtid.</w:t>
      </w:r>
    </w:p>
    <w:p w:rsidR="00F529FB" w:rsidRPr="007B0ED8" w:rsidRDefault="00F529FB" w:rsidP="007D1444">
      <w:pPr>
        <w:autoSpaceDE w:val="0"/>
        <w:autoSpaceDN w:val="0"/>
        <w:adjustRightInd w:val="0"/>
        <w:spacing w:after="0" w:line="240" w:lineRule="auto"/>
        <w:rPr>
          <w:rFonts w:ascii="Times New Roman" w:hAnsi="Times New Roman" w:cs="Courier New"/>
          <w:sz w:val="24"/>
          <w:szCs w:val="24"/>
        </w:rPr>
      </w:pPr>
    </w:p>
    <w:p w:rsidR="00347E7D" w:rsidRPr="00BB4786" w:rsidRDefault="00347E7D" w:rsidP="00BB4786">
      <w:pPr>
        <w:pStyle w:val="Rubrik2"/>
        <w:rPr>
          <w:rFonts w:ascii="Times New Roman" w:hAnsi="Times New Roman"/>
        </w:rPr>
      </w:pPr>
      <w:r w:rsidRPr="00BB4786">
        <w:rPr>
          <w:rFonts w:ascii="Times New Roman" w:hAnsi="Times New Roman"/>
        </w:rPr>
        <w:t>Förslag och slutsatser</w:t>
      </w:r>
    </w:p>
    <w:p w:rsidR="00347E7D" w:rsidRPr="007B0ED8" w:rsidRDefault="00347E7D" w:rsidP="007D1444">
      <w:pPr>
        <w:autoSpaceDE w:val="0"/>
        <w:autoSpaceDN w:val="0"/>
        <w:adjustRightInd w:val="0"/>
        <w:spacing w:after="0" w:line="240" w:lineRule="auto"/>
        <w:rPr>
          <w:rFonts w:ascii="Times New Roman" w:hAnsi="Times New Roman" w:cs="Courier New"/>
          <w:sz w:val="24"/>
          <w:szCs w:val="24"/>
        </w:rPr>
      </w:pPr>
    </w:p>
    <w:p w:rsidR="00EC2B67" w:rsidRPr="007B0ED8" w:rsidRDefault="002673E9" w:rsidP="007D1444">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Liksom vi saknar tydliga referenser till de utvaldas ”bord” saknar vi i </w:t>
      </w:r>
      <w:proofErr w:type="spellStart"/>
      <w:r w:rsidRPr="007B0ED8">
        <w:rPr>
          <w:rFonts w:ascii="Times New Roman" w:hAnsi="Times New Roman" w:cs="Courier New"/>
          <w:sz w:val="24"/>
          <w:szCs w:val="24"/>
        </w:rPr>
        <w:t>kellisdokumenten</w:t>
      </w:r>
      <w:proofErr w:type="spellEnd"/>
      <w:r w:rsidRPr="007B0ED8">
        <w:rPr>
          <w:rFonts w:ascii="Times New Roman" w:hAnsi="Times New Roman" w:cs="Courier New"/>
          <w:sz w:val="24"/>
          <w:szCs w:val="24"/>
        </w:rPr>
        <w:t xml:space="preserve"> även referenser till </w:t>
      </w:r>
      <w:proofErr w:type="spellStart"/>
      <w:r w:rsidRPr="007B0ED8">
        <w:rPr>
          <w:rFonts w:ascii="Times New Roman" w:hAnsi="Times New Roman" w:cs="Courier New"/>
          <w:sz w:val="24"/>
          <w:szCs w:val="24"/>
        </w:rPr>
        <w:t>bemahögtiden</w:t>
      </w:r>
      <w:proofErr w:type="spellEnd"/>
      <w:r w:rsidRPr="007B0ED8">
        <w:rPr>
          <w:rFonts w:ascii="Times New Roman" w:hAnsi="Times New Roman" w:cs="Courier New"/>
          <w:sz w:val="24"/>
          <w:szCs w:val="24"/>
        </w:rPr>
        <w:t>. Det var en högtid som firades till åmi</w:t>
      </w:r>
      <w:r w:rsidR="00E252F8" w:rsidRPr="007B0ED8">
        <w:rPr>
          <w:rFonts w:ascii="Times New Roman" w:hAnsi="Times New Roman" w:cs="Courier New"/>
          <w:sz w:val="24"/>
          <w:szCs w:val="24"/>
        </w:rPr>
        <w:t>n</w:t>
      </w:r>
      <w:r w:rsidRPr="007B0ED8">
        <w:rPr>
          <w:rFonts w:ascii="Times New Roman" w:hAnsi="Times New Roman" w:cs="Courier New"/>
          <w:sz w:val="24"/>
          <w:szCs w:val="24"/>
        </w:rPr>
        <w:t>nelse av Manis sista tid och avrättning. I mångt och mycket såg man den som en parallell till Jesus lidande.</w:t>
      </w:r>
      <w:r w:rsidR="009B621E" w:rsidRPr="007B0ED8">
        <w:rPr>
          <w:rFonts w:ascii="Times New Roman" w:hAnsi="Times New Roman" w:cs="Courier New"/>
          <w:sz w:val="24"/>
          <w:szCs w:val="24"/>
        </w:rPr>
        <w:t xml:space="preserve"> Mani dog troligtvis den fjärde dagen i månaden </w:t>
      </w:r>
      <w:proofErr w:type="spellStart"/>
      <w:r w:rsidR="009B621E" w:rsidRPr="007B0ED8">
        <w:rPr>
          <w:rFonts w:ascii="Times New Roman" w:hAnsi="Times New Roman" w:cs="Courier New"/>
          <w:sz w:val="24"/>
          <w:szCs w:val="24"/>
        </w:rPr>
        <w:t>pharmothi</w:t>
      </w:r>
      <w:proofErr w:type="spellEnd"/>
      <w:r w:rsidR="009B621E" w:rsidRPr="007B0ED8">
        <w:rPr>
          <w:rFonts w:ascii="Times New Roman" w:hAnsi="Times New Roman" w:cs="Courier New"/>
          <w:sz w:val="24"/>
          <w:szCs w:val="24"/>
        </w:rPr>
        <w:t xml:space="preserve">. I så fall skulle den högtiden föregått påsken. Då Makarios i Kell. </w:t>
      </w:r>
      <w:proofErr w:type="spellStart"/>
      <w:r w:rsidR="009B621E" w:rsidRPr="007B0ED8">
        <w:rPr>
          <w:rFonts w:ascii="Times New Roman" w:hAnsi="Times New Roman" w:cs="Courier New"/>
          <w:sz w:val="24"/>
          <w:szCs w:val="24"/>
        </w:rPr>
        <w:t>Copt</w:t>
      </w:r>
      <w:proofErr w:type="spellEnd"/>
      <w:r w:rsidR="009B621E" w:rsidRPr="007B0ED8">
        <w:rPr>
          <w:rFonts w:ascii="Times New Roman" w:hAnsi="Times New Roman" w:cs="Courier New"/>
          <w:sz w:val="24"/>
          <w:szCs w:val="24"/>
        </w:rPr>
        <w:t>. 22 nämner att han tagit emot oliver och vindruvor inför påsken</w:t>
      </w:r>
      <w:r w:rsidR="008A336D" w:rsidRPr="007B0ED8">
        <w:rPr>
          <w:rStyle w:val="Fotnotsreferens"/>
          <w:rFonts w:ascii="Times New Roman" w:hAnsi="Times New Roman" w:cs="Courier New"/>
          <w:sz w:val="24"/>
          <w:szCs w:val="24"/>
        </w:rPr>
        <w:footnoteReference w:id="83"/>
      </w:r>
      <w:r w:rsidR="008A336D" w:rsidRPr="007B0ED8">
        <w:rPr>
          <w:rFonts w:ascii="Times New Roman" w:hAnsi="Times New Roman" w:cs="Courier New"/>
          <w:sz w:val="24"/>
          <w:szCs w:val="24"/>
        </w:rPr>
        <w:t xml:space="preserve"> talar det för att man skiljde på agape och påsk. Emellertid bör vi vara försiktiga med att dra alltför säkra slutsatser utifrån ett så magert underlag.</w:t>
      </w:r>
      <w:r w:rsidR="00806521" w:rsidRPr="007B0ED8">
        <w:rPr>
          <w:rFonts w:ascii="Times New Roman" w:hAnsi="Times New Roman" w:cs="Courier New"/>
          <w:sz w:val="24"/>
          <w:szCs w:val="24"/>
        </w:rPr>
        <w:t xml:space="preserve"> Vi har redan sett hur manikéer anpas</w:t>
      </w:r>
      <w:r w:rsidR="00E252F8" w:rsidRPr="007B0ED8">
        <w:rPr>
          <w:rFonts w:ascii="Times New Roman" w:hAnsi="Times New Roman" w:cs="Courier New"/>
          <w:sz w:val="24"/>
          <w:szCs w:val="24"/>
        </w:rPr>
        <w:t>s</w:t>
      </w:r>
      <w:r w:rsidR="00806521" w:rsidRPr="007B0ED8">
        <w:rPr>
          <w:rFonts w:ascii="Times New Roman" w:hAnsi="Times New Roman" w:cs="Courier New"/>
          <w:sz w:val="24"/>
          <w:szCs w:val="24"/>
        </w:rPr>
        <w:t>at tiden för ”bordet” för att inte kom</w:t>
      </w:r>
      <w:r w:rsidR="004D11E9" w:rsidRPr="007B0ED8">
        <w:rPr>
          <w:rFonts w:ascii="Times New Roman" w:hAnsi="Times New Roman" w:cs="Courier New"/>
          <w:sz w:val="24"/>
          <w:szCs w:val="24"/>
        </w:rPr>
        <w:t>m</w:t>
      </w:r>
      <w:r w:rsidR="00806521" w:rsidRPr="007B0ED8">
        <w:rPr>
          <w:rFonts w:ascii="Times New Roman" w:hAnsi="Times New Roman" w:cs="Courier New"/>
          <w:sz w:val="24"/>
          <w:szCs w:val="24"/>
        </w:rPr>
        <w:t xml:space="preserve">a i konflikt med sina muslimska grannar. Att </w:t>
      </w:r>
      <w:proofErr w:type="spellStart"/>
      <w:r w:rsidR="00806521" w:rsidRPr="007B0ED8">
        <w:rPr>
          <w:rFonts w:ascii="Times New Roman" w:hAnsi="Times New Roman" w:cs="Courier New"/>
          <w:sz w:val="24"/>
          <w:szCs w:val="24"/>
        </w:rPr>
        <w:t>bemafest</w:t>
      </w:r>
      <w:proofErr w:type="spellEnd"/>
      <w:r w:rsidR="00806521" w:rsidRPr="007B0ED8">
        <w:rPr>
          <w:rFonts w:ascii="Times New Roman" w:hAnsi="Times New Roman" w:cs="Courier New"/>
          <w:sz w:val="24"/>
          <w:szCs w:val="24"/>
        </w:rPr>
        <w:t xml:space="preserve"> och påsk kunde förlagts till samma tid är därför inte osannolikt. Men om jag ska våga mig på en gissning lutar jag åt att </w:t>
      </w:r>
      <w:proofErr w:type="spellStart"/>
      <w:r w:rsidR="00806521" w:rsidRPr="007B0ED8">
        <w:rPr>
          <w:rFonts w:ascii="Times New Roman" w:hAnsi="Times New Roman" w:cs="Courier New"/>
          <w:sz w:val="24"/>
          <w:szCs w:val="24"/>
        </w:rPr>
        <w:t>bemafesten</w:t>
      </w:r>
      <w:proofErr w:type="spellEnd"/>
      <w:r w:rsidR="00806521" w:rsidRPr="007B0ED8">
        <w:rPr>
          <w:rFonts w:ascii="Times New Roman" w:hAnsi="Times New Roman" w:cs="Courier New"/>
          <w:sz w:val="24"/>
          <w:szCs w:val="24"/>
        </w:rPr>
        <w:t xml:space="preserve"> fått den kristet präglade termen agape och att den med fördel </w:t>
      </w:r>
      <w:r w:rsidR="004D11E9" w:rsidRPr="007B0ED8">
        <w:rPr>
          <w:rFonts w:ascii="Times New Roman" w:hAnsi="Times New Roman" w:cs="Courier New"/>
          <w:sz w:val="24"/>
          <w:szCs w:val="24"/>
        </w:rPr>
        <w:t>k</w:t>
      </w:r>
      <w:r w:rsidR="00806521" w:rsidRPr="007B0ED8">
        <w:rPr>
          <w:rFonts w:ascii="Times New Roman" w:hAnsi="Times New Roman" w:cs="Courier New"/>
          <w:sz w:val="24"/>
          <w:szCs w:val="24"/>
        </w:rPr>
        <w:t xml:space="preserve">unnat firas innan fastan inför påsken vidtog. </w:t>
      </w:r>
      <w:r w:rsidR="004D11E9" w:rsidRPr="007B0ED8">
        <w:rPr>
          <w:rFonts w:ascii="Times New Roman" w:hAnsi="Times New Roman" w:cs="Courier New"/>
          <w:sz w:val="24"/>
          <w:szCs w:val="24"/>
        </w:rPr>
        <w:t xml:space="preserve">Den mat som vi nu vet samlades ihop vid agapemåltiden kunde då tjäna som en festlig måltid antingen innan </w:t>
      </w:r>
      <w:proofErr w:type="spellStart"/>
      <w:r w:rsidR="004D11E9" w:rsidRPr="007B0ED8">
        <w:rPr>
          <w:rFonts w:ascii="Times New Roman" w:hAnsi="Times New Roman" w:cs="Courier New"/>
          <w:sz w:val="24"/>
          <w:szCs w:val="24"/>
        </w:rPr>
        <w:t>bemahögtiden</w:t>
      </w:r>
      <w:proofErr w:type="spellEnd"/>
      <w:r w:rsidR="004D11E9" w:rsidRPr="007B0ED8">
        <w:rPr>
          <w:rFonts w:ascii="Times New Roman" w:hAnsi="Times New Roman" w:cs="Courier New"/>
          <w:sz w:val="24"/>
          <w:szCs w:val="24"/>
        </w:rPr>
        <w:t xml:space="preserve"> vidtog, eller i slutet av den. Om vi väljer det senare alternativet kunde måltiden ha sammanfallit med andra kristnas måltid innan </w:t>
      </w:r>
      <w:proofErr w:type="spellStart"/>
      <w:r w:rsidR="004D11E9" w:rsidRPr="007B0ED8">
        <w:rPr>
          <w:rFonts w:ascii="Times New Roman" w:hAnsi="Times New Roman" w:cs="Courier New"/>
          <w:sz w:val="24"/>
          <w:szCs w:val="24"/>
        </w:rPr>
        <w:t>påskfastan</w:t>
      </w:r>
      <w:proofErr w:type="spellEnd"/>
      <w:r w:rsidR="004D11E9" w:rsidRPr="007B0ED8">
        <w:rPr>
          <w:rFonts w:ascii="Times New Roman" w:hAnsi="Times New Roman" w:cs="Courier New"/>
          <w:sz w:val="24"/>
          <w:szCs w:val="24"/>
        </w:rPr>
        <w:t>.</w:t>
      </w:r>
      <w:r w:rsidR="007B5692" w:rsidRPr="007B0ED8">
        <w:rPr>
          <w:rFonts w:ascii="Times New Roman" w:hAnsi="Times New Roman" w:cs="Courier New"/>
          <w:sz w:val="24"/>
          <w:szCs w:val="24"/>
        </w:rPr>
        <w:t xml:space="preserve"> Att detta är spekulationer är dock uppenbart.</w:t>
      </w:r>
      <w:r w:rsidR="003037FD" w:rsidRPr="007B0ED8">
        <w:rPr>
          <w:rFonts w:ascii="Times New Roman" w:hAnsi="Times New Roman" w:cs="Courier New"/>
          <w:sz w:val="24"/>
          <w:szCs w:val="24"/>
        </w:rPr>
        <w:t xml:space="preserve"> Men än sak står dock klar, vi mås</w:t>
      </w:r>
      <w:r w:rsidR="00E252F8" w:rsidRPr="007B0ED8">
        <w:rPr>
          <w:rFonts w:ascii="Times New Roman" w:hAnsi="Times New Roman" w:cs="Courier New"/>
          <w:sz w:val="24"/>
          <w:szCs w:val="24"/>
        </w:rPr>
        <w:t>t</w:t>
      </w:r>
      <w:r w:rsidR="003037FD" w:rsidRPr="007B0ED8">
        <w:rPr>
          <w:rFonts w:ascii="Times New Roman" w:hAnsi="Times New Roman" w:cs="Courier New"/>
          <w:sz w:val="24"/>
          <w:szCs w:val="24"/>
        </w:rPr>
        <w:t xml:space="preserve">e vid det jämförande religionsvetenskapliga studiet vara mycket varsamma när vi gör generaliseringar. Den </w:t>
      </w:r>
      <w:proofErr w:type="spellStart"/>
      <w:r w:rsidR="003037FD" w:rsidRPr="007B0ED8">
        <w:rPr>
          <w:rFonts w:ascii="Times New Roman" w:hAnsi="Times New Roman" w:cs="Courier New"/>
          <w:sz w:val="24"/>
          <w:szCs w:val="24"/>
        </w:rPr>
        <w:t>kontextualisering</w:t>
      </w:r>
      <w:proofErr w:type="spellEnd"/>
      <w:r w:rsidR="003037FD" w:rsidRPr="007B0ED8">
        <w:rPr>
          <w:rFonts w:ascii="Times New Roman" w:hAnsi="Times New Roman" w:cs="Courier New"/>
          <w:sz w:val="24"/>
          <w:szCs w:val="24"/>
        </w:rPr>
        <w:t xml:space="preserve"> som vi kunnat göra utifrån de i Kellis funna texterna har utmanat den bild av manikeism som tidigare varit förhärskande. Sambandet mellan manikéer och kristna var troligtvis nära. Man hade flera barn än väntat och stor vikt lades vid den inom kristendomen mycket centrala agapemåltiden. Denna hade dock troligtvis bland manikéer fått en särskild betydelse i inramningen av </w:t>
      </w:r>
      <w:proofErr w:type="spellStart"/>
      <w:r w:rsidR="003037FD" w:rsidRPr="007B0ED8">
        <w:rPr>
          <w:rFonts w:ascii="Times New Roman" w:hAnsi="Times New Roman" w:cs="Courier New"/>
          <w:sz w:val="24"/>
          <w:szCs w:val="24"/>
        </w:rPr>
        <w:t>bemafesten</w:t>
      </w:r>
      <w:proofErr w:type="spellEnd"/>
      <w:r w:rsidR="003037FD" w:rsidRPr="007B0ED8">
        <w:rPr>
          <w:rFonts w:ascii="Times New Roman" w:hAnsi="Times New Roman" w:cs="Courier New"/>
          <w:sz w:val="24"/>
          <w:szCs w:val="24"/>
        </w:rPr>
        <w:t>.</w:t>
      </w:r>
      <w:r w:rsidR="00EC2B67" w:rsidRPr="007B0ED8">
        <w:rPr>
          <w:rFonts w:ascii="Times New Roman" w:hAnsi="Times New Roman" w:cs="Courier New"/>
          <w:sz w:val="24"/>
          <w:szCs w:val="24"/>
        </w:rPr>
        <w:t xml:space="preserve"> Vidare har vi anledning att anta att måltidens firande inte bara var förbehållet de utvalda. Även om deras firande sannolikt skiljde sig från lekfolkets, såväl till form som till ändamål.</w:t>
      </w:r>
    </w:p>
    <w:p w:rsidR="004D11E9" w:rsidRPr="007B0ED8" w:rsidRDefault="00EC2B67" w:rsidP="007D1444">
      <w:pPr>
        <w:autoSpaceDE w:val="0"/>
        <w:autoSpaceDN w:val="0"/>
        <w:adjustRightInd w:val="0"/>
        <w:spacing w:after="0" w:line="240" w:lineRule="auto"/>
        <w:rPr>
          <w:rFonts w:ascii="Times New Roman" w:hAnsi="Times New Roman" w:cs="Courier New"/>
          <w:sz w:val="24"/>
          <w:szCs w:val="24"/>
        </w:rPr>
      </w:pPr>
      <w:r w:rsidRPr="007B0ED8">
        <w:rPr>
          <w:rFonts w:ascii="Times New Roman" w:hAnsi="Times New Roman" w:cs="Courier New"/>
          <w:sz w:val="24"/>
          <w:szCs w:val="24"/>
        </w:rPr>
        <w:t xml:space="preserve"> </w:t>
      </w:r>
      <w:r w:rsidR="007B5692" w:rsidRPr="007B0ED8">
        <w:rPr>
          <w:rFonts w:ascii="Times New Roman" w:hAnsi="Times New Roman" w:cs="Courier New"/>
          <w:sz w:val="24"/>
          <w:szCs w:val="24"/>
        </w:rPr>
        <w:t xml:space="preserve"> </w:t>
      </w:r>
      <w:r w:rsidR="004D11E9" w:rsidRPr="007B0ED8">
        <w:rPr>
          <w:rFonts w:ascii="Times New Roman" w:hAnsi="Times New Roman" w:cs="Courier New"/>
          <w:sz w:val="24"/>
          <w:szCs w:val="24"/>
        </w:rPr>
        <w:t xml:space="preserve"> </w:t>
      </w:r>
    </w:p>
    <w:p w:rsidR="00E5707F" w:rsidRPr="007B0ED8" w:rsidRDefault="00E5707F" w:rsidP="007D1444">
      <w:pPr>
        <w:autoSpaceDE w:val="0"/>
        <w:autoSpaceDN w:val="0"/>
        <w:adjustRightInd w:val="0"/>
        <w:spacing w:after="0" w:line="240" w:lineRule="auto"/>
        <w:rPr>
          <w:rFonts w:ascii="Times New Roman" w:hAnsi="Times New Roman" w:cs="Courier New"/>
          <w:sz w:val="24"/>
        </w:rPr>
      </w:pPr>
    </w:p>
    <w:p w:rsidR="00E5707F" w:rsidRPr="00BB4786" w:rsidRDefault="00E5707F" w:rsidP="00BB4786">
      <w:pPr>
        <w:pStyle w:val="Rubrik2"/>
        <w:rPr>
          <w:rFonts w:ascii="Times New Roman" w:hAnsi="Times New Roman"/>
        </w:rPr>
      </w:pPr>
      <w:r w:rsidRPr="00BB4786">
        <w:rPr>
          <w:rFonts w:ascii="Times New Roman" w:hAnsi="Times New Roman"/>
        </w:rPr>
        <w:t>Referenslista</w:t>
      </w:r>
    </w:p>
    <w:p w:rsidR="00E5707F" w:rsidRPr="007B0ED8" w:rsidRDefault="00E5707F" w:rsidP="00E5707F">
      <w:pPr>
        <w:pStyle w:val="Rubrik3"/>
        <w:rPr>
          <w:rFonts w:ascii="Times New Roman" w:hAnsi="Times New Roman"/>
          <w:sz w:val="24"/>
        </w:rPr>
      </w:pPr>
      <w:r w:rsidRPr="007B0ED8">
        <w:rPr>
          <w:rFonts w:ascii="Times New Roman" w:hAnsi="Times New Roman"/>
          <w:sz w:val="24"/>
        </w:rPr>
        <w:t>Sekundärlitteratur och textutgåvor</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rPr>
        <w:t>Bagnall</w:t>
      </w:r>
      <w:proofErr w:type="spellEnd"/>
      <w:r w:rsidRPr="007B0ED8">
        <w:rPr>
          <w:rFonts w:ascii="Times New Roman" w:hAnsi="Times New Roman" w:cs="Courier New"/>
          <w:sz w:val="24"/>
        </w:rPr>
        <w:t xml:space="preserve">, </w:t>
      </w:r>
      <w:proofErr w:type="spellStart"/>
      <w:r w:rsidRPr="007B0ED8">
        <w:rPr>
          <w:rFonts w:ascii="Times New Roman" w:hAnsi="Times New Roman" w:cs="Courier New"/>
          <w:sz w:val="24"/>
        </w:rPr>
        <w:t>roger</w:t>
      </w:r>
      <w:proofErr w:type="spellEnd"/>
      <w:r w:rsidRPr="007B0ED8">
        <w:rPr>
          <w:rFonts w:ascii="Times New Roman" w:hAnsi="Times New Roman" w:cs="Courier New"/>
          <w:sz w:val="24"/>
        </w:rPr>
        <w:t xml:space="preserve"> S. (red). 1997. </w:t>
      </w:r>
      <w:r w:rsidRPr="007B0ED8">
        <w:rPr>
          <w:rFonts w:ascii="Times New Roman" w:hAnsi="Times New Roman" w:cs="Courier New"/>
          <w:i/>
          <w:sz w:val="24"/>
          <w:lang w:val="en-US"/>
        </w:rPr>
        <w:t xml:space="preserve">The </w:t>
      </w:r>
      <w:proofErr w:type="spellStart"/>
      <w:r w:rsidRPr="007B0ED8">
        <w:rPr>
          <w:rFonts w:ascii="Times New Roman" w:hAnsi="Times New Roman" w:cs="Courier New"/>
          <w:i/>
          <w:sz w:val="24"/>
          <w:lang w:val="en-US"/>
        </w:rPr>
        <w:t>Kellis</w:t>
      </w:r>
      <w:proofErr w:type="spellEnd"/>
      <w:r w:rsidRPr="007B0ED8">
        <w:rPr>
          <w:rFonts w:ascii="Times New Roman" w:hAnsi="Times New Roman" w:cs="Courier New"/>
          <w:i/>
          <w:sz w:val="24"/>
          <w:lang w:val="en-US"/>
        </w:rPr>
        <w:t xml:space="preserve"> agricultural account book</w:t>
      </w:r>
      <w:r w:rsidRPr="007B0ED8">
        <w:rPr>
          <w:rFonts w:ascii="Times New Roman" w:hAnsi="Times New Roman" w:cs="Courier New"/>
          <w:sz w:val="24"/>
          <w:lang w:val="en-US"/>
        </w:rPr>
        <w:t>, Oxford.</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Baker-Brian, Nicholas J. 2011. Manichaeism: An Ancient Faith Rediscovered, New York.</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lang w:val="en-US"/>
        </w:rPr>
        <w:t>Beduhn</w:t>
      </w:r>
      <w:proofErr w:type="spellEnd"/>
      <w:r w:rsidRPr="007B0ED8">
        <w:rPr>
          <w:rFonts w:ascii="Times New Roman" w:hAnsi="Times New Roman" w:cs="Courier New"/>
          <w:sz w:val="24"/>
          <w:lang w:val="en-US"/>
        </w:rPr>
        <w:t xml:space="preserve">, Jason David. 2000. </w:t>
      </w:r>
      <w:r w:rsidRPr="007B0ED8">
        <w:rPr>
          <w:rFonts w:ascii="Times New Roman" w:hAnsi="Times New Roman" w:cs="Courier New"/>
          <w:i/>
          <w:sz w:val="24"/>
          <w:lang w:val="en-US"/>
        </w:rPr>
        <w:t>The Manichaean Body: In discipline and ritual</w:t>
      </w:r>
      <w:r w:rsidRPr="007B0ED8">
        <w:rPr>
          <w:rFonts w:ascii="Times New Roman" w:hAnsi="Times New Roman" w:cs="Courier New"/>
          <w:sz w:val="24"/>
          <w:lang w:val="en-US"/>
        </w:rPr>
        <w:t>, Baltimore &amp; London.</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rPr>
          <w:rFonts w:ascii="Times New Roman" w:hAnsi="Times New Roman"/>
          <w:sz w:val="24"/>
          <w:lang w:val="en-US"/>
        </w:rPr>
      </w:pPr>
      <w:proofErr w:type="spellStart"/>
      <w:r w:rsidRPr="007B0ED8">
        <w:rPr>
          <w:rFonts w:ascii="Times New Roman" w:hAnsi="Times New Roman"/>
          <w:sz w:val="24"/>
          <w:lang w:val="en-US"/>
        </w:rPr>
        <w:t>Beduhn</w:t>
      </w:r>
      <w:proofErr w:type="spellEnd"/>
      <w:r w:rsidRPr="007B0ED8">
        <w:rPr>
          <w:rFonts w:ascii="Times New Roman" w:hAnsi="Times New Roman"/>
          <w:sz w:val="24"/>
          <w:lang w:val="en-US"/>
        </w:rPr>
        <w:t xml:space="preserve">, Jason David. 2009. “A religion of deeds: </w:t>
      </w:r>
      <w:proofErr w:type="spellStart"/>
      <w:r w:rsidRPr="007B0ED8">
        <w:rPr>
          <w:rFonts w:ascii="Times New Roman" w:hAnsi="Times New Roman"/>
          <w:sz w:val="24"/>
          <w:lang w:val="en-US"/>
        </w:rPr>
        <w:t>Scepticism</w:t>
      </w:r>
      <w:proofErr w:type="spellEnd"/>
      <w:r w:rsidRPr="007B0ED8">
        <w:rPr>
          <w:rFonts w:ascii="Times New Roman" w:hAnsi="Times New Roman"/>
          <w:sz w:val="24"/>
          <w:lang w:val="en-US"/>
        </w:rPr>
        <w:t xml:space="preserve"> in the doctrinally liberal Manichaeism of Faustus and Augustine”, </w:t>
      </w:r>
      <w:r w:rsidRPr="007B0ED8">
        <w:rPr>
          <w:rFonts w:ascii="Times New Roman" w:hAnsi="Times New Roman"/>
          <w:i/>
          <w:sz w:val="24"/>
          <w:lang w:val="en-US"/>
        </w:rPr>
        <w:t>New light on Manichaeism: Papers from the sixth international congress on Manichaeism</w:t>
      </w:r>
      <w:r w:rsidRPr="007B0ED8">
        <w:rPr>
          <w:rFonts w:ascii="Times New Roman" w:hAnsi="Times New Roman"/>
          <w:sz w:val="24"/>
          <w:lang w:val="en-US"/>
        </w:rPr>
        <w:t xml:space="preserve">, Jason </w:t>
      </w:r>
      <w:proofErr w:type="spellStart"/>
      <w:r w:rsidRPr="007B0ED8">
        <w:rPr>
          <w:rFonts w:ascii="Times New Roman" w:hAnsi="Times New Roman"/>
          <w:sz w:val="24"/>
          <w:lang w:val="en-US"/>
        </w:rPr>
        <w:t>Beduhn</w:t>
      </w:r>
      <w:proofErr w:type="spellEnd"/>
      <w:r w:rsidRPr="007B0ED8">
        <w:rPr>
          <w:rFonts w:ascii="Times New Roman" w:hAnsi="Times New Roman"/>
          <w:sz w:val="24"/>
          <w:lang w:val="en-US"/>
        </w:rPr>
        <w:t xml:space="preserve"> (red.), Leiden &amp; Boston, 1-28.    </w:t>
      </w:r>
    </w:p>
    <w:p w:rsidR="00E5707F" w:rsidRPr="007B0ED8" w:rsidRDefault="00E5707F" w:rsidP="00E5707F">
      <w:pPr>
        <w:rPr>
          <w:rFonts w:ascii="Times New Roman" w:hAnsi="Times New Roman"/>
          <w:sz w:val="24"/>
          <w:lang w:val="en-US"/>
        </w:rPr>
      </w:pPr>
      <w:r w:rsidRPr="007B0ED8">
        <w:rPr>
          <w:rFonts w:ascii="Times New Roman" w:hAnsi="Times New Roman"/>
          <w:sz w:val="24"/>
          <w:lang w:val="en-US"/>
        </w:rPr>
        <w:t xml:space="preserve">Bianchi, Ugo (red.). 1967. </w:t>
      </w:r>
      <w:r w:rsidRPr="007B0ED8">
        <w:rPr>
          <w:rFonts w:ascii="Times New Roman" w:hAnsi="Times New Roman"/>
          <w:i/>
          <w:sz w:val="24"/>
          <w:lang w:val="en-US"/>
        </w:rPr>
        <w:t xml:space="preserve">Le </w:t>
      </w:r>
      <w:proofErr w:type="spellStart"/>
      <w:r w:rsidRPr="007B0ED8">
        <w:rPr>
          <w:rFonts w:ascii="Times New Roman" w:hAnsi="Times New Roman"/>
          <w:i/>
          <w:sz w:val="24"/>
          <w:lang w:val="en-US"/>
        </w:rPr>
        <w:t>origini</w:t>
      </w:r>
      <w:proofErr w:type="spellEnd"/>
      <w:r w:rsidRPr="007B0ED8">
        <w:rPr>
          <w:rFonts w:ascii="Times New Roman" w:hAnsi="Times New Roman"/>
          <w:i/>
          <w:sz w:val="24"/>
          <w:lang w:val="en-US"/>
        </w:rPr>
        <w:t xml:space="preserve"> </w:t>
      </w:r>
      <w:proofErr w:type="spellStart"/>
      <w:r w:rsidRPr="007B0ED8">
        <w:rPr>
          <w:rFonts w:ascii="Times New Roman" w:hAnsi="Times New Roman"/>
          <w:i/>
          <w:sz w:val="24"/>
          <w:lang w:val="en-US"/>
        </w:rPr>
        <w:t>dello</w:t>
      </w:r>
      <w:proofErr w:type="spellEnd"/>
      <w:r w:rsidRPr="007B0ED8">
        <w:rPr>
          <w:rFonts w:ascii="Times New Roman" w:hAnsi="Times New Roman"/>
          <w:i/>
          <w:sz w:val="24"/>
          <w:lang w:val="en-US"/>
        </w:rPr>
        <w:t xml:space="preserve"> </w:t>
      </w:r>
      <w:proofErr w:type="spellStart"/>
      <w:r w:rsidRPr="007B0ED8">
        <w:rPr>
          <w:rFonts w:ascii="Times New Roman" w:hAnsi="Times New Roman"/>
          <w:i/>
          <w:sz w:val="24"/>
          <w:lang w:val="en-US"/>
        </w:rPr>
        <w:t>gnosticismo</w:t>
      </w:r>
      <w:proofErr w:type="spellEnd"/>
      <w:r w:rsidRPr="007B0ED8">
        <w:rPr>
          <w:rFonts w:ascii="Times New Roman" w:hAnsi="Times New Roman"/>
          <w:i/>
          <w:sz w:val="24"/>
          <w:lang w:val="en-US"/>
        </w:rPr>
        <w:t xml:space="preserve">: </w:t>
      </w:r>
      <w:proofErr w:type="spellStart"/>
      <w:r w:rsidRPr="007B0ED8">
        <w:rPr>
          <w:rFonts w:ascii="Times New Roman" w:hAnsi="Times New Roman"/>
          <w:i/>
          <w:sz w:val="24"/>
          <w:lang w:val="en-US"/>
        </w:rPr>
        <w:t>colloquio</w:t>
      </w:r>
      <w:proofErr w:type="spellEnd"/>
      <w:r w:rsidRPr="007B0ED8">
        <w:rPr>
          <w:rFonts w:ascii="Times New Roman" w:hAnsi="Times New Roman"/>
          <w:i/>
          <w:sz w:val="24"/>
          <w:lang w:val="en-US"/>
        </w:rPr>
        <w:t xml:space="preserve"> di Messina 13-18 </w:t>
      </w:r>
      <w:proofErr w:type="spellStart"/>
      <w:r w:rsidRPr="007B0ED8">
        <w:rPr>
          <w:rFonts w:ascii="Times New Roman" w:hAnsi="Times New Roman"/>
          <w:i/>
          <w:sz w:val="24"/>
          <w:lang w:val="en-US"/>
        </w:rPr>
        <w:t>aprile</w:t>
      </w:r>
      <w:proofErr w:type="spellEnd"/>
      <w:r w:rsidRPr="007B0ED8">
        <w:rPr>
          <w:rFonts w:ascii="Times New Roman" w:hAnsi="Times New Roman"/>
          <w:i/>
          <w:sz w:val="24"/>
          <w:lang w:val="en-US"/>
        </w:rPr>
        <w:t xml:space="preserve"> 1966</w:t>
      </w:r>
      <w:r w:rsidRPr="007B0ED8">
        <w:rPr>
          <w:rFonts w:ascii="Times New Roman" w:hAnsi="Times New Roman"/>
          <w:sz w:val="24"/>
          <w:lang w:val="en-US"/>
        </w:rPr>
        <w:t>. Leiden.</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lang w:val="en-US"/>
        </w:rPr>
        <w:t>Broadhead</w:t>
      </w:r>
      <w:proofErr w:type="spellEnd"/>
      <w:r w:rsidRPr="007B0ED8">
        <w:rPr>
          <w:rFonts w:ascii="Times New Roman" w:hAnsi="Times New Roman" w:cs="Courier New"/>
          <w:sz w:val="24"/>
          <w:lang w:val="en-US"/>
        </w:rPr>
        <w:t xml:space="preserve">, Edwin K. 2010. </w:t>
      </w:r>
      <w:r w:rsidRPr="007B0ED8">
        <w:rPr>
          <w:rFonts w:ascii="Times New Roman" w:hAnsi="Times New Roman" w:cs="Courier New"/>
          <w:i/>
          <w:sz w:val="24"/>
          <w:lang w:val="en-US"/>
        </w:rPr>
        <w:t>Jewish ways of following Jesus: Redrawing the religious map of antiquity</w:t>
      </w:r>
      <w:r w:rsidRPr="007B0ED8">
        <w:rPr>
          <w:rFonts w:ascii="Times New Roman" w:hAnsi="Times New Roman" w:cs="Courier New"/>
          <w:sz w:val="24"/>
          <w:lang w:val="en-US"/>
        </w:rPr>
        <w:t xml:space="preserve">, </w:t>
      </w:r>
      <w:proofErr w:type="spellStart"/>
      <w:r w:rsidRPr="007B0ED8">
        <w:rPr>
          <w:rFonts w:ascii="Times New Roman" w:hAnsi="Times New Roman" w:cs="Courier New"/>
          <w:sz w:val="24"/>
          <w:lang w:val="en-US"/>
        </w:rPr>
        <w:t>Tübingen</w:t>
      </w:r>
      <w:proofErr w:type="spellEnd"/>
      <w:r w:rsidRPr="007B0ED8">
        <w:rPr>
          <w:rFonts w:ascii="Times New Roman" w:hAnsi="Times New Roman" w:cs="Courier New"/>
          <w:sz w:val="24"/>
          <w:lang w:val="en-US"/>
        </w:rPr>
        <w:t>.</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lang w:val="en-US"/>
        </w:rPr>
        <w:t>Colditz</w:t>
      </w:r>
      <w:proofErr w:type="spellEnd"/>
      <w:r w:rsidRPr="007B0ED8">
        <w:rPr>
          <w:rFonts w:ascii="Times New Roman" w:hAnsi="Times New Roman" w:cs="Courier New"/>
          <w:sz w:val="24"/>
          <w:lang w:val="en-US"/>
        </w:rPr>
        <w:t xml:space="preserve">, Iris. 2009. “Manichaean time-management: </w:t>
      </w:r>
      <w:proofErr w:type="spellStart"/>
      <w:r w:rsidRPr="007B0ED8">
        <w:rPr>
          <w:rFonts w:ascii="Times New Roman" w:hAnsi="Times New Roman" w:cs="Courier New"/>
          <w:sz w:val="24"/>
          <w:lang w:val="en-US"/>
        </w:rPr>
        <w:t>Layment</w:t>
      </w:r>
      <w:proofErr w:type="spellEnd"/>
      <w:r w:rsidRPr="007B0ED8">
        <w:rPr>
          <w:rFonts w:ascii="Times New Roman" w:hAnsi="Times New Roman" w:cs="Courier New"/>
          <w:sz w:val="24"/>
          <w:lang w:val="en-US"/>
        </w:rPr>
        <w:t xml:space="preserve"> between religious and secular duties”, </w:t>
      </w:r>
      <w:r w:rsidRPr="007B0ED8">
        <w:rPr>
          <w:rFonts w:ascii="Times New Roman" w:hAnsi="Times New Roman"/>
          <w:i/>
          <w:sz w:val="24"/>
          <w:lang w:val="en-US"/>
        </w:rPr>
        <w:t>New light on Manichaeism: Papers from the sixth international congress on Manichaeism</w:t>
      </w:r>
      <w:r w:rsidRPr="007B0ED8">
        <w:rPr>
          <w:rFonts w:ascii="Times New Roman" w:hAnsi="Times New Roman"/>
          <w:sz w:val="24"/>
          <w:lang w:val="en-US"/>
        </w:rPr>
        <w:t xml:space="preserve">, Jason </w:t>
      </w:r>
      <w:proofErr w:type="spellStart"/>
      <w:r w:rsidRPr="007B0ED8">
        <w:rPr>
          <w:rFonts w:ascii="Times New Roman" w:hAnsi="Times New Roman"/>
          <w:sz w:val="24"/>
          <w:lang w:val="en-US"/>
        </w:rPr>
        <w:t>Beduhn</w:t>
      </w:r>
      <w:proofErr w:type="spellEnd"/>
      <w:r w:rsidRPr="007B0ED8">
        <w:rPr>
          <w:rFonts w:ascii="Times New Roman" w:hAnsi="Times New Roman"/>
          <w:sz w:val="24"/>
          <w:lang w:val="en-US"/>
        </w:rPr>
        <w:t xml:space="preserve"> (red.), Leiden &amp; Boston, 73-100.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lang w:val="en-US"/>
        </w:rPr>
        <w:t>Cribiore</w:t>
      </w:r>
      <w:proofErr w:type="spellEnd"/>
      <w:r w:rsidRPr="007B0ED8">
        <w:rPr>
          <w:rFonts w:ascii="Times New Roman" w:hAnsi="Times New Roman" w:cs="Courier New"/>
          <w:sz w:val="24"/>
          <w:lang w:val="en-US"/>
        </w:rPr>
        <w:t xml:space="preserve">, </w:t>
      </w:r>
      <w:proofErr w:type="spellStart"/>
      <w:r w:rsidRPr="007B0ED8">
        <w:rPr>
          <w:rFonts w:ascii="Times New Roman" w:hAnsi="Times New Roman" w:cs="Courier New"/>
          <w:sz w:val="24"/>
          <w:lang w:val="en-US"/>
        </w:rPr>
        <w:t>Raffaela</w:t>
      </w:r>
      <w:proofErr w:type="spellEnd"/>
      <w:r w:rsidRPr="007B0ED8">
        <w:rPr>
          <w:rFonts w:ascii="Times New Roman" w:hAnsi="Times New Roman" w:cs="Courier New"/>
          <w:sz w:val="24"/>
          <w:lang w:val="en-US"/>
        </w:rPr>
        <w:t xml:space="preserve">. 2001. </w:t>
      </w:r>
      <w:r w:rsidRPr="007B0ED8">
        <w:rPr>
          <w:rFonts w:ascii="Times New Roman" w:hAnsi="Times New Roman" w:cs="Courier New"/>
          <w:i/>
          <w:sz w:val="24"/>
          <w:lang w:val="en-US"/>
        </w:rPr>
        <w:t>Gymnastics of the mind: Greek education in Hellenistic and Roman Egypt</w:t>
      </w:r>
      <w:r w:rsidRPr="007B0ED8">
        <w:rPr>
          <w:rFonts w:ascii="Times New Roman" w:hAnsi="Times New Roman" w:cs="Courier New"/>
          <w:sz w:val="24"/>
          <w:lang w:val="en-US"/>
        </w:rPr>
        <w:t>, Princeton.</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De Blois, Francois. 1999</w:t>
      </w:r>
      <w:proofErr w:type="gramStart"/>
      <w:r w:rsidRPr="007B0ED8">
        <w:rPr>
          <w:rFonts w:ascii="Times New Roman" w:hAnsi="Times New Roman" w:cs="Courier New"/>
          <w:sz w:val="24"/>
          <w:lang w:val="en-US"/>
        </w:rPr>
        <w:t>. ”</w:t>
      </w:r>
      <w:proofErr w:type="gramEnd"/>
      <w:r w:rsidRPr="007B0ED8">
        <w:rPr>
          <w:rFonts w:ascii="Times New Roman" w:hAnsi="Times New Roman" w:cs="Courier New"/>
          <w:sz w:val="24"/>
          <w:lang w:val="en-US"/>
        </w:rPr>
        <w:t xml:space="preserve">The Manichaean daily prayers”, </w:t>
      </w:r>
      <w:proofErr w:type="spellStart"/>
      <w:r w:rsidRPr="007B0ED8">
        <w:rPr>
          <w:rFonts w:ascii="Times New Roman" w:hAnsi="Times New Roman"/>
          <w:i/>
          <w:sz w:val="24"/>
          <w:lang w:val="en-US"/>
        </w:rPr>
        <w:t>Studia</w:t>
      </w:r>
      <w:proofErr w:type="spellEnd"/>
      <w:r w:rsidRPr="007B0ED8">
        <w:rPr>
          <w:rFonts w:ascii="Times New Roman" w:hAnsi="Times New Roman"/>
          <w:i/>
          <w:sz w:val="24"/>
          <w:lang w:val="en-US"/>
        </w:rPr>
        <w:t xml:space="preserve"> </w:t>
      </w:r>
      <w:proofErr w:type="spellStart"/>
      <w:r w:rsidRPr="007B0ED8">
        <w:rPr>
          <w:rFonts w:ascii="Times New Roman" w:hAnsi="Times New Roman"/>
          <w:i/>
          <w:sz w:val="24"/>
          <w:lang w:val="en-US"/>
        </w:rPr>
        <w:t>Manichaica</w:t>
      </w:r>
      <w:proofErr w:type="spellEnd"/>
      <w:r w:rsidRPr="007B0ED8">
        <w:rPr>
          <w:rFonts w:ascii="Times New Roman" w:hAnsi="Times New Roman"/>
          <w:i/>
          <w:sz w:val="24"/>
          <w:lang w:val="en-US"/>
        </w:rPr>
        <w:t xml:space="preserve">: IV. </w:t>
      </w:r>
      <w:proofErr w:type="spellStart"/>
      <w:r w:rsidRPr="007B0ED8">
        <w:rPr>
          <w:rFonts w:ascii="Times New Roman" w:hAnsi="Times New Roman"/>
          <w:i/>
          <w:sz w:val="24"/>
          <w:lang w:val="en-US"/>
        </w:rPr>
        <w:t>internationaler</w:t>
      </w:r>
      <w:proofErr w:type="spellEnd"/>
      <w:r w:rsidRPr="007B0ED8">
        <w:rPr>
          <w:rFonts w:ascii="Times New Roman" w:hAnsi="Times New Roman"/>
          <w:i/>
          <w:sz w:val="24"/>
          <w:lang w:val="en-US"/>
        </w:rPr>
        <w:t xml:space="preserve"> </w:t>
      </w:r>
      <w:proofErr w:type="spellStart"/>
      <w:r w:rsidRPr="007B0ED8">
        <w:rPr>
          <w:rFonts w:ascii="Times New Roman" w:hAnsi="Times New Roman"/>
          <w:i/>
          <w:sz w:val="24"/>
          <w:lang w:val="en-US"/>
        </w:rPr>
        <w:t>Kongress</w:t>
      </w:r>
      <w:proofErr w:type="spellEnd"/>
      <w:r w:rsidRPr="007B0ED8">
        <w:rPr>
          <w:rFonts w:ascii="Times New Roman" w:hAnsi="Times New Roman"/>
          <w:i/>
          <w:sz w:val="24"/>
          <w:lang w:val="en-US"/>
        </w:rPr>
        <w:t xml:space="preserve"> </w:t>
      </w:r>
      <w:proofErr w:type="spellStart"/>
      <w:r w:rsidRPr="007B0ED8">
        <w:rPr>
          <w:rFonts w:ascii="Times New Roman" w:hAnsi="Times New Roman"/>
          <w:i/>
          <w:sz w:val="24"/>
          <w:lang w:val="en-US"/>
        </w:rPr>
        <w:t>zum</w:t>
      </w:r>
      <w:proofErr w:type="spellEnd"/>
      <w:r w:rsidRPr="007B0ED8">
        <w:rPr>
          <w:rFonts w:ascii="Times New Roman" w:hAnsi="Times New Roman"/>
          <w:i/>
          <w:sz w:val="24"/>
          <w:lang w:val="en-US"/>
        </w:rPr>
        <w:t xml:space="preserve"> </w:t>
      </w:r>
      <w:proofErr w:type="spellStart"/>
      <w:r w:rsidRPr="007B0ED8">
        <w:rPr>
          <w:rFonts w:ascii="Times New Roman" w:hAnsi="Times New Roman"/>
          <w:i/>
          <w:sz w:val="24"/>
          <w:lang w:val="en-US"/>
        </w:rPr>
        <w:t>Manichäismus</w:t>
      </w:r>
      <w:proofErr w:type="spellEnd"/>
      <w:r w:rsidRPr="007B0ED8">
        <w:rPr>
          <w:rFonts w:ascii="Times New Roman" w:hAnsi="Times New Roman"/>
          <w:i/>
          <w:sz w:val="24"/>
          <w:lang w:val="en-US"/>
        </w:rPr>
        <w:t xml:space="preserve">, Berlin 14-18 </w:t>
      </w:r>
      <w:proofErr w:type="spellStart"/>
      <w:r w:rsidRPr="007B0ED8">
        <w:rPr>
          <w:rFonts w:ascii="Times New Roman" w:hAnsi="Times New Roman"/>
          <w:i/>
          <w:sz w:val="24"/>
          <w:lang w:val="en-US"/>
        </w:rPr>
        <w:t>juli</w:t>
      </w:r>
      <w:proofErr w:type="spellEnd"/>
      <w:r w:rsidRPr="007B0ED8">
        <w:rPr>
          <w:rFonts w:ascii="Times New Roman" w:hAnsi="Times New Roman"/>
          <w:i/>
          <w:sz w:val="24"/>
          <w:lang w:val="en-US"/>
        </w:rPr>
        <w:t xml:space="preserve"> 1997</w:t>
      </w:r>
      <w:r w:rsidRPr="007B0ED8">
        <w:rPr>
          <w:rFonts w:ascii="Times New Roman" w:hAnsi="Times New Roman"/>
          <w:sz w:val="24"/>
          <w:lang w:val="en-US"/>
        </w:rPr>
        <w:t xml:space="preserve">, Ronald E. </w:t>
      </w:r>
      <w:proofErr w:type="spellStart"/>
      <w:r w:rsidRPr="007B0ED8">
        <w:rPr>
          <w:rFonts w:ascii="Times New Roman" w:hAnsi="Times New Roman"/>
          <w:sz w:val="24"/>
          <w:lang w:val="en-US"/>
        </w:rPr>
        <w:t>Emmerick</w:t>
      </w:r>
      <w:proofErr w:type="spellEnd"/>
      <w:r w:rsidRPr="007B0ED8">
        <w:rPr>
          <w:rFonts w:ascii="Times New Roman" w:hAnsi="Times New Roman"/>
          <w:sz w:val="24"/>
          <w:lang w:val="en-US"/>
        </w:rPr>
        <w:t xml:space="preserve"> (red), Berlin, 49-54.     </w:t>
      </w:r>
      <w:r w:rsidRPr="007B0ED8">
        <w:rPr>
          <w:rFonts w:ascii="Times New Roman" w:hAnsi="Times New Roman" w:cs="Courier New"/>
          <w:sz w:val="24"/>
          <w:lang w:val="en-US"/>
        </w:rPr>
        <w:t xml:space="preserve">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lang w:val="en-US"/>
        </w:rPr>
        <w:t>Dzielska</w:t>
      </w:r>
      <w:proofErr w:type="spellEnd"/>
      <w:r w:rsidRPr="007B0ED8">
        <w:rPr>
          <w:rFonts w:ascii="Times New Roman" w:hAnsi="Times New Roman" w:cs="Courier New"/>
          <w:sz w:val="24"/>
          <w:lang w:val="en-US"/>
        </w:rPr>
        <w:t xml:space="preserve">, Maria. 1995. </w:t>
      </w:r>
      <w:proofErr w:type="spellStart"/>
      <w:r w:rsidRPr="007B0ED8">
        <w:rPr>
          <w:rFonts w:ascii="Times New Roman" w:hAnsi="Times New Roman" w:cs="Courier New"/>
          <w:i/>
          <w:sz w:val="24"/>
          <w:lang w:val="en-US"/>
        </w:rPr>
        <w:t>Hypatia</w:t>
      </w:r>
      <w:proofErr w:type="spellEnd"/>
      <w:r w:rsidRPr="007B0ED8">
        <w:rPr>
          <w:rFonts w:ascii="Times New Roman" w:hAnsi="Times New Roman" w:cs="Courier New"/>
          <w:i/>
          <w:sz w:val="24"/>
          <w:lang w:val="en-US"/>
        </w:rPr>
        <w:t xml:space="preserve"> of Alexandria</w:t>
      </w:r>
      <w:r w:rsidRPr="007B0ED8">
        <w:rPr>
          <w:rFonts w:ascii="Times New Roman" w:hAnsi="Times New Roman" w:cs="Courier New"/>
          <w:sz w:val="24"/>
          <w:lang w:val="en-US"/>
        </w:rPr>
        <w:t>, Cambridge, Mass.</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432762">
      <w:pPr>
        <w:autoSpaceDE w:val="0"/>
        <w:autoSpaceDN w:val="0"/>
        <w:adjustRightInd w:val="0"/>
        <w:spacing w:after="0" w:line="240" w:lineRule="auto"/>
        <w:rPr>
          <w:rFonts w:ascii="Times New Roman" w:hAnsi="Times New Roman" w:cs="Courier New"/>
          <w:i/>
          <w:sz w:val="24"/>
          <w:lang w:val="en-US"/>
        </w:rPr>
      </w:pPr>
      <w:proofErr w:type="spellStart"/>
      <w:r w:rsidRPr="007B0ED8">
        <w:rPr>
          <w:rFonts w:ascii="Times New Roman" w:hAnsi="Times New Roman" w:cs="Courier New"/>
          <w:sz w:val="24"/>
          <w:lang w:val="en-US"/>
        </w:rPr>
        <w:t>Dunderberg</w:t>
      </w:r>
      <w:proofErr w:type="spellEnd"/>
      <w:r w:rsidRPr="007B0ED8">
        <w:rPr>
          <w:rFonts w:ascii="Times New Roman" w:hAnsi="Times New Roman" w:cs="Courier New"/>
          <w:sz w:val="24"/>
          <w:lang w:val="en-US"/>
        </w:rPr>
        <w:t xml:space="preserve">, </w:t>
      </w:r>
      <w:proofErr w:type="spellStart"/>
      <w:r w:rsidRPr="007B0ED8">
        <w:rPr>
          <w:rFonts w:ascii="Times New Roman" w:hAnsi="Times New Roman" w:cs="Courier New"/>
          <w:sz w:val="24"/>
          <w:lang w:val="en-US"/>
        </w:rPr>
        <w:t>Ismo</w:t>
      </w:r>
      <w:proofErr w:type="spellEnd"/>
      <w:r w:rsidRPr="007B0ED8">
        <w:rPr>
          <w:rFonts w:ascii="Times New Roman" w:hAnsi="Times New Roman" w:cs="Courier New"/>
          <w:sz w:val="24"/>
          <w:lang w:val="en-US"/>
        </w:rPr>
        <w:t xml:space="preserve">. 2008. </w:t>
      </w:r>
      <w:r w:rsidRPr="007B0ED8">
        <w:rPr>
          <w:rFonts w:ascii="Times New Roman" w:hAnsi="Times New Roman" w:cs="Courier New"/>
          <w:i/>
          <w:sz w:val="24"/>
          <w:lang w:val="en-US"/>
        </w:rPr>
        <w:t>Beyond Gnosticism: Myth, lifestyle and society in the school of Valentinus</w:t>
      </w:r>
      <w:r w:rsidRPr="007B0ED8">
        <w:rPr>
          <w:rFonts w:ascii="Times New Roman" w:hAnsi="Times New Roman" w:cs="Courier New"/>
          <w:sz w:val="24"/>
          <w:lang w:val="en-US"/>
        </w:rPr>
        <w:t xml:space="preserve">, New York.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lang w:val="en-US"/>
        </w:rPr>
        <w:t>Fowden</w:t>
      </w:r>
      <w:proofErr w:type="spellEnd"/>
      <w:r w:rsidRPr="007B0ED8">
        <w:rPr>
          <w:rFonts w:ascii="Times New Roman" w:hAnsi="Times New Roman" w:cs="Courier New"/>
          <w:sz w:val="24"/>
          <w:lang w:val="en-US"/>
        </w:rPr>
        <w:t xml:space="preserve">, Garth. 1993. </w:t>
      </w:r>
      <w:r w:rsidRPr="007B0ED8">
        <w:rPr>
          <w:rFonts w:ascii="Times New Roman" w:hAnsi="Times New Roman" w:cs="Courier New"/>
          <w:i/>
          <w:sz w:val="24"/>
          <w:lang w:val="en-US"/>
        </w:rPr>
        <w:t>Empire to commonwealth: Consequences of monotheism in late antiquity</w:t>
      </w:r>
      <w:r w:rsidRPr="007B0ED8">
        <w:rPr>
          <w:rFonts w:ascii="Times New Roman" w:hAnsi="Times New Roman" w:cs="Courier New"/>
          <w:sz w:val="24"/>
          <w:lang w:val="en-US"/>
        </w:rPr>
        <w:t>, Princeton N.J.</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gramStart"/>
      <w:r w:rsidRPr="007B0ED8">
        <w:rPr>
          <w:rFonts w:ascii="Times New Roman" w:hAnsi="Times New Roman" w:cs="Courier New"/>
          <w:sz w:val="24"/>
          <w:lang w:val="en-US"/>
        </w:rPr>
        <w:t>Funk, Wolf-Peter.</w:t>
      </w:r>
      <w:proofErr w:type="gramEnd"/>
      <w:r w:rsidRPr="007B0ED8">
        <w:rPr>
          <w:rFonts w:ascii="Times New Roman" w:hAnsi="Times New Roman" w:cs="Courier New"/>
          <w:sz w:val="24"/>
          <w:lang w:val="en-US"/>
        </w:rPr>
        <w:t xml:space="preserve"> 1997. “The reconstruction of Manichaean </w:t>
      </w:r>
      <w:proofErr w:type="spellStart"/>
      <w:r w:rsidRPr="007B0ED8">
        <w:rPr>
          <w:rFonts w:ascii="Times New Roman" w:hAnsi="Times New Roman" w:cs="Courier New"/>
          <w:sz w:val="24"/>
          <w:lang w:val="en-US"/>
        </w:rPr>
        <w:t>Kephalaia</w:t>
      </w:r>
      <w:proofErr w:type="spellEnd"/>
      <w:r w:rsidRPr="007B0ED8">
        <w:rPr>
          <w:rFonts w:ascii="Times New Roman" w:hAnsi="Times New Roman" w:cs="Courier New"/>
          <w:sz w:val="24"/>
          <w:lang w:val="en-US"/>
        </w:rPr>
        <w:t xml:space="preserve">”, </w:t>
      </w:r>
      <w:r w:rsidRPr="007B0ED8">
        <w:rPr>
          <w:rFonts w:ascii="Times New Roman" w:hAnsi="Times New Roman" w:cs="Courier New"/>
          <w:i/>
          <w:sz w:val="24"/>
          <w:lang w:val="en-US"/>
        </w:rPr>
        <w:t>Emerging from darkness: Studies in the recovery of Manichaean sources</w:t>
      </w:r>
      <w:r w:rsidRPr="007B0ED8">
        <w:rPr>
          <w:rFonts w:ascii="Times New Roman" w:hAnsi="Times New Roman" w:cs="Courier New"/>
          <w:sz w:val="24"/>
          <w:lang w:val="en-US"/>
        </w:rPr>
        <w:t xml:space="preserve">, Jason </w:t>
      </w:r>
      <w:proofErr w:type="spellStart"/>
      <w:r w:rsidRPr="007B0ED8">
        <w:rPr>
          <w:rFonts w:ascii="Times New Roman" w:hAnsi="Times New Roman" w:cs="Courier New"/>
          <w:sz w:val="24"/>
          <w:lang w:val="en-US"/>
        </w:rPr>
        <w:t>Beduhn</w:t>
      </w:r>
      <w:proofErr w:type="spellEnd"/>
      <w:r w:rsidRPr="007B0ED8">
        <w:rPr>
          <w:rFonts w:ascii="Times New Roman" w:hAnsi="Times New Roman" w:cs="Courier New"/>
          <w:sz w:val="24"/>
          <w:lang w:val="en-US"/>
        </w:rPr>
        <w:t xml:space="preserve"> &amp; Paul </w:t>
      </w:r>
      <w:proofErr w:type="spellStart"/>
      <w:r w:rsidRPr="007B0ED8">
        <w:rPr>
          <w:rFonts w:ascii="Times New Roman" w:hAnsi="Times New Roman" w:cs="Courier New"/>
          <w:sz w:val="24"/>
          <w:lang w:val="en-US"/>
        </w:rPr>
        <w:t>Mirecki</w:t>
      </w:r>
      <w:proofErr w:type="spellEnd"/>
      <w:r w:rsidRPr="007B0ED8">
        <w:rPr>
          <w:rFonts w:ascii="Times New Roman" w:hAnsi="Times New Roman" w:cs="Courier New"/>
          <w:sz w:val="24"/>
          <w:lang w:val="en-US"/>
        </w:rPr>
        <w:t xml:space="preserve">, (red.), Leiden &amp; New York, 143-160.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 xml:space="preserve">Gardner, Iain. 1995. </w:t>
      </w:r>
      <w:r w:rsidRPr="007B0ED8">
        <w:rPr>
          <w:rFonts w:ascii="Times New Roman" w:hAnsi="Times New Roman" w:cs="Courier New"/>
          <w:i/>
          <w:sz w:val="24"/>
          <w:lang w:val="en-US"/>
        </w:rPr>
        <w:t xml:space="preserve">The </w:t>
      </w:r>
      <w:proofErr w:type="spellStart"/>
      <w:r w:rsidRPr="007B0ED8">
        <w:rPr>
          <w:rFonts w:ascii="Times New Roman" w:hAnsi="Times New Roman" w:cs="Courier New"/>
          <w:i/>
          <w:sz w:val="24"/>
          <w:lang w:val="en-US"/>
        </w:rPr>
        <w:t>Kephalaia</w:t>
      </w:r>
      <w:proofErr w:type="spellEnd"/>
      <w:r w:rsidRPr="007B0ED8">
        <w:rPr>
          <w:rFonts w:ascii="Times New Roman" w:hAnsi="Times New Roman" w:cs="Courier New"/>
          <w:i/>
          <w:sz w:val="24"/>
          <w:lang w:val="en-US"/>
        </w:rPr>
        <w:t xml:space="preserve"> of the teacher: the edited Coptic Manichaean texts in translation with commentary</w:t>
      </w:r>
      <w:r w:rsidRPr="007B0ED8">
        <w:rPr>
          <w:rFonts w:ascii="Times New Roman" w:hAnsi="Times New Roman" w:cs="Courier New"/>
          <w:sz w:val="24"/>
          <w:lang w:val="en-US"/>
        </w:rPr>
        <w:t xml:space="preserve">, Leiden, New York &amp; Köln.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 xml:space="preserve">Gardner, Iain (red). </w:t>
      </w:r>
      <w:proofErr w:type="gramStart"/>
      <w:r w:rsidRPr="007B0ED8">
        <w:rPr>
          <w:rFonts w:ascii="Times New Roman" w:hAnsi="Times New Roman" w:cs="Courier New"/>
          <w:sz w:val="24"/>
          <w:lang w:val="en-US"/>
        </w:rPr>
        <w:t xml:space="preserve">1996. </w:t>
      </w:r>
      <w:proofErr w:type="spellStart"/>
      <w:r w:rsidRPr="007B0ED8">
        <w:rPr>
          <w:rFonts w:ascii="Times New Roman" w:hAnsi="Times New Roman" w:cs="Courier New"/>
          <w:i/>
          <w:sz w:val="24"/>
          <w:lang w:val="en-US"/>
        </w:rPr>
        <w:t>Kellis</w:t>
      </w:r>
      <w:proofErr w:type="spellEnd"/>
      <w:proofErr w:type="gramEnd"/>
      <w:r w:rsidRPr="007B0ED8">
        <w:rPr>
          <w:rFonts w:ascii="Times New Roman" w:hAnsi="Times New Roman" w:cs="Courier New"/>
          <w:i/>
          <w:sz w:val="24"/>
          <w:lang w:val="en-US"/>
        </w:rPr>
        <w:t xml:space="preserve"> literary texts: Volume 1</w:t>
      </w:r>
      <w:r w:rsidRPr="007B0ED8">
        <w:rPr>
          <w:rFonts w:ascii="Times New Roman" w:hAnsi="Times New Roman" w:cs="Courier New"/>
          <w:sz w:val="24"/>
          <w:lang w:val="en-US"/>
        </w:rPr>
        <w:t>, Oxford.</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gramStart"/>
      <w:r w:rsidRPr="007B0ED8">
        <w:rPr>
          <w:rFonts w:ascii="Times New Roman" w:hAnsi="Times New Roman" w:cs="Courier New"/>
          <w:sz w:val="24"/>
          <w:lang w:val="en-US"/>
        </w:rPr>
        <w:t xml:space="preserve">Gardner, Iain, </w:t>
      </w:r>
      <w:proofErr w:type="spellStart"/>
      <w:r w:rsidRPr="007B0ED8">
        <w:rPr>
          <w:rFonts w:ascii="Times New Roman" w:hAnsi="Times New Roman" w:cs="Courier New"/>
          <w:sz w:val="24"/>
          <w:lang w:val="en-US"/>
        </w:rPr>
        <w:t>Alcock</w:t>
      </w:r>
      <w:proofErr w:type="spellEnd"/>
      <w:r w:rsidRPr="007B0ED8">
        <w:rPr>
          <w:rFonts w:ascii="Times New Roman" w:hAnsi="Times New Roman" w:cs="Courier New"/>
          <w:sz w:val="24"/>
          <w:lang w:val="en-US"/>
        </w:rPr>
        <w:t>, Anthony, Funk, Wolf-Peter (red).</w:t>
      </w:r>
      <w:proofErr w:type="gramEnd"/>
      <w:r w:rsidRPr="007B0ED8">
        <w:rPr>
          <w:rFonts w:ascii="Times New Roman" w:hAnsi="Times New Roman" w:cs="Courier New"/>
          <w:sz w:val="24"/>
          <w:lang w:val="en-US"/>
        </w:rPr>
        <w:t xml:space="preserve"> 1999. </w:t>
      </w:r>
      <w:r w:rsidRPr="007B0ED8">
        <w:rPr>
          <w:rFonts w:ascii="Times New Roman" w:hAnsi="Times New Roman" w:cs="Courier New"/>
          <w:i/>
          <w:sz w:val="24"/>
          <w:lang w:val="en-US"/>
        </w:rPr>
        <w:t xml:space="preserve">Coptic documentary texts from </w:t>
      </w:r>
      <w:proofErr w:type="spellStart"/>
      <w:r w:rsidRPr="007B0ED8">
        <w:rPr>
          <w:rFonts w:ascii="Times New Roman" w:hAnsi="Times New Roman" w:cs="Courier New"/>
          <w:i/>
          <w:sz w:val="24"/>
          <w:lang w:val="en-US"/>
        </w:rPr>
        <w:t>Kellis</w:t>
      </w:r>
      <w:proofErr w:type="spellEnd"/>
      <w:r w:rsidRPr="007B0ED8">
        <w:rPr>
          <w:rFonts w:ascii="Times New Roman" w:hAnsi="Times New Roman" w:cs="Courier New"/>
          <w:i/>
          <w:sz w:val="24"/>
          <w:lang w:val="en-US"/>
        </w:rPr>
        <w:t>: Volume 1</w:t>
      </w:r>
      <w:r w:rsidRPr="007B0ED8">
        <w:rPr>
          <w:rFonts w:ascii="Times New Roman" w:hAnsi="Times New Roman" w:cs="Courier New"/>
          <w:sz w:val="24"/>
          <w:lang w:val="en-US"/>
        </w:rPr>
        <w:t xml:space="preserve">, Oxford.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rPr>
        <w:t xml:space="preserve">Gardner, </w:t>
      </w:r>
      <w:proofErr w:type="spellStart"/>
      <w:r w:rsidRPr="007B0ED8">
        <w:rPr>
          <w:rFonts w:ascii="Times New Roman" w:hAnsi="Times New Roman" w:cs="Courier New"/>
          <w:sz w:val="24"/>
        </w:rPr>
        <w:t>Iain</w:t>
      </w:r>
      <w:proofErr w:type="spellEnd"/>
      <w:r w:rsidRPr="007B0ED8">
        <w:rPr>
          <w:rFonts w:ascii="Times New Roman" w:hAnsi="Times New Roman" w:cs="Courier New"/>
          <w:sz w:val="24"/>
        </w:rPr>
        <w:t xml:space="preserve"> &amp; </w:t>
      </w:r>
      <w:proofErr w:type="spellStart"/>
      <w:r w:rsidRPr="007B0ED8">
        <w:rPr>
          <w:rFonts w:ascii="Times New Roman" w:hAnsi="Times New Roman" w:cs="Courier New"/>
          <w:sz w:val="24"/>
        </w:rPr>
        <w:t>Lieu</w:t>
      </w:r>
      <w:proofErr w:type="spellEnd"/>
      <w:r w:rsidRPr="007B0ED8">
        <w:rPr>
          <w:rFonts w:ascii="Times New Roman" w:hAnsi="Times New Roman" w:cs="Courier New"/>
          <w:sz w:val="24"/>
        </w:rPr>
        <w:t xml:space="preserve">, Samuel, N C. (red). 2004. </w:t>
      </w:r>
      <w:proofErr w:type="gramStart"/>
      <w:r w:rsidRPr="007B0ED8">
        <w:rPr>
          <w:rFonts w:ascii="Times New Roman" w:hAnsi="Times New Roman" w:cs="Courier New"/>
          <w:i/>
          <w:sz w:val="24"/>
          <w:lang w:val="en-US"/>
        </w:rPr>
        <w:t>Manichaean texts from the Roman Empire</w:t>
      </w:r>
      <w:r w:rsidRPr="007B0ED8">
        <w:rPr>
          <w:rFonts w:ascii="Times New Roman" w:hAnsi="Times New Roman" w:cs="Courier New"/>
          <w:sz w:val="24"/>
          <w:lang w:val="en-US"/>
        </w:rPr>
        <w:t>, New York.</w:t>
      </w:r>
      <w:proofErr w:type="gramEnd"/>
      <w:r w:rsidRPr="007B0ED8">
        <w:rPr>
          <w:rFonts w:ascii="Times New Roman" w:hAnsi="Times New Roman" w:cs="Courier New"/>
          <w:sz w:val="24"/>
          <w:lang w:val="en-US"/>
        </w:rPr>
        <w:t xml:space="preserve">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proofErr w:type="gramStart"/>
      <w:r w:rsidRPr="007B0ED8">
        <w:rPr>
          <w:rFonts w:ascii="Times New Roman" w:hAnsi="Times New Roman" w:cs="Courier New"/>
          <w:sz w:val="24"/>
          <w:lang w:val="en-US"/>
        </w:rPr>
        <w:t>Hegemonius</w:t>
      </w:r>
      <w:proofErr w:type="spellEnd"/>
      <w:r w:rsidRPr="007B0ED8">
        <w:rPr>
          <w:rFonts w:ascii="Times New Roman" w:hAnsi="Times New Roman" w:cs="Courier New"/>
          <w:sz w:val="24"/>
          <w:lang w:val="en-US"/>
        </w:rPr>
        <w:t>.</w:t>
      </w:r>
      <w:proofErr w:type="gramEnd"/>
      <w:r w:rsidRPr="007B0ED8">
        <w:rPr>
          <w:rFonts w:ascii="Times New Roman" w:hAnsi="Times New Roman" w:cs="Courier New"/>
          <w:sz w:val="24"/>
          <w:lang w:val="en-US"/>
        </w:rPr>
        <w:t xml:space="preserve"> 1906. </w:t>
      </w:r>
      <w:proofErr w:type="spellStart"/>
      <w:r w:rsidRPr="007B0ED8">
        <w:rPr>
          <w:rFonts w:ascii="Times New Roman" w:hAnsi="Times New Roman" w:cs="Courier New"/>
          <w:i/>
          <w:sz w:val="24"/>
          <w:lang w:val="en-US"/>
        </w:rPr>
        <w:t>Acta</w:t>
      </w:r>
      <w:proofErr w:type="spellEnd"/>
      <w:r w:rsidRPr="007B0ED8">
        <w:rPr>
          <w:rFonts w:ascii="Times New Roman" w:hAnsi="Times New Roman" w:cs="Courier New"/>
          <w:i/>
          <w:sz w:val="24"/>
          <w:lang w:val="en-US"/>
        </w:rPr>
        <w:t xml:space="preserve"> </w:t>
      </w:r>
      <w:proofErr w:type="spellStart"/>
      <w:r w:rsidRPr="007B0ED8">
        <w:rPr>
          <w:rFonts w:ascii="Times New Roman" w:hAnsi="Times New Roman" w:cs="Courier New"/>
          <w:i/>
          <w:sz w:val="24"/>
          <w:lang w:val="en-US"/>
        </w:rPr>
        <w:t>archelai</w:t>
      </w:r>
      <w:proofErr w:type="spellEnd"/>
      <w:r w:rsidRPr="007B0ED8">
        <w:rPr>
          <w:rFonts w:ascii="Times New Roman" w:hAnsi="Times New Roman" w:cs="Courier New"/>
          <w:sz w:val="24"/>
          <w:lang w:val="en-US"/>
        </w:rPr>
        <w:t>, Leipzig.</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proofErr w:type="gramStart"/>
      <w:r w:rsidRPr="007B0ED8">
        <w:rPr>
          <w:rFonts w:ascii="Times New Roman" w:hAnsi="Times New Roman" w:cs="Courier New"/>
          <w:sz w:val="24"/>
          <w:lang w:val="en-US"/>
        </w:rPr>
        <w:t>Hutter</w:t>
      </w:r>
      <w:proofErr w:type="spellEnd"/>
      <w:r w:rsidRPr="007B0ED8">
        <w:rPr>
          <w:rFonts w:ascii="Times New Roman" w:hAnsi="Times New Roman" w:cs="Courier New"/>
          <w:sz w:val="24"/>
          <w:lang w:val="en-US"/>
        </w:rPr>
        <w:t>, Manfred.</w:t>
      </w:r>
      <w:proofErr w:type="gramEnd"/>
      <w:r w:rsidRPr="007B0ED8">
        <w:rPr>
          <w:rFonts w:ascii="Times New Roman" w:hAnsi="Times New Roman" w:cs="Courier New"/>
          <w:sz w:val="24"/>
          <w:lang w:val="en-US"/>
        </w:rPr>
        <w:t xml:space="preserve"> 1992. </w:t>
      </w:r>
      <w:proofErr w:type="spellStart"/>
      <w:r w:rsidRPr="007B0ED8">
        <w:rPr>
          <w:rFonts w:ascii="Times New Roman" w:hAnsi="Times New Roman" w:cs="Courier New"/>
          <w:i/>
          <w:sz w:val="24"/>
          <w:lang w:val="en-US"/>
        </w:rPr>
        <w:t>Manis</w:t>
      </w:r>
      <w:proofErr w:type="spellEnd"/>
      <w:r w:rsidRPr="007B0ED8">
        <w:rPr>
          <w:rFonts w:ascii="Times New Roman" w:hAnsi="Times New Roman" w:cs="Courier New"/>
          <w:i/>
          <w:sz w:val="24"/>
          <w:lang w:val="en-US"/>
        </w:rPr>
        <w:t xml:space="preserve"> </w:t>
      </w:r>
      <w:proofErr w:type="spellStart"/>
      <w:r w:rsidRPr="007B0ED8">
        <w:rPr>
          <w:rFonts w:ascii="Times New Roman" w:hAnsi="Times New Roman" w:cs="Courier New"/>
          <w:i/>
          <w:sz w:val="24"/>
          <w:lang w:val="en-US"/>
        </w:rPr>
        <w:t>kosmogonische</w:t>
      </w:r>
      <w:proofErr w:type="spellEnd"/>
      <w:r w:rsidRPr="007B0ED8">
        <w:rPr>
          <w:rFonts w:ascii="Times New Roman" w:hAnsi="Times New Roman" w:cs="Courier New"/>
          <w:i/>
          <w:sz w:val="24"/>
          <w:lang w:val="en-US"/>
        </w:rPr>
        <w:t xml:space="preserve"> </w:t>
      </w:r>
      <w:proofErr w:type="spellStart"/>
      <w:r w:rsidRPr="007B0ED8">
        <w:rPr>
          <w:rFonts w:ascii="Times New Roman" w:hAnsi="Times New Roman" w:cs="Courier New"/>
          <w:i/>
          <w:sz w:val="24"/>
          <w:lang w:val="en-US"/>
        </w:rPr>
        <w:t>Sabuhragan-texte</w:t>
      </w:r>
      <w:proofErr w:type="spellEnd"/>
      <w:r w:rsidRPr="007B0ED8">
        <w:rPr>
          <w:rFonts w:ascii="Times New Roman" w:hAnsi="Times New Roman" w:cs="Courier New"/>
          <w:i/>
          <w:sz w:val="24"/>
          <w:lang w:val="en-US"/>
        </w:rPr>
        <w:t xml:space="preserve">: Edition, </w:t>
      </w:r>
      <w:proofErr w:type="spellStart"/>
      <w:r w:rsidRPr="007B0ED8">
        <w:rPr>
          <w:rFonts w:ascii="Times New Roman" w:hAnsi="Times New Roman" w:cs="Courier New"/>
          <w:i/>
          <w:sz w:val="24"/>
          <w:lang w:val="en-US"/>
        </w:rPr>
        <w:t>Kommentar</w:t>
      </w:r>
      <w:proofErr w:type="spellEnd"/>
      <w:r w:rsidRPr="007B0ED8">
        <w:rPr>
          <w:rFonts w:ascii="Times New Roman" w:hAnsi="Times New Roman" w:cs="Courier New"/>
          <w:i/>
          <w:sz w:val="24"/>
          <w:lang w:val="en-US"/>
        </w:rPr>
        <w:t xml:space="preserve"> und </w:t>
      </w:r>
      <w:proofErr w:type="spellStart"/>
      <w:r w:rsidRPr="007B0ED8">
        <w:rPr>
          <w:rFonts w:ascii="Times New Roman" w:hAnsi="Times New Roman" w:cs="Courier New"/>
          <w:i/>
          <w:sz w:val="24"/>
          <w:lang w:val="en-US"/>
        </w:rPr>
        <w:t>literaturgeschichtliche</w:t>
      </w:r>
      <w:proofErr w:type="spellEnd"/>
      <w:r w:rsidRPr="007B0ED8">
        <w:rPr>
          <w:rFonts w:ascii="Times New Roman" w:hAnsi="Times New Roman" w:cs="Courier New"/>
          <w:i/>
          <w:sz w:val="24"/>
          <w:lang w:val="en-US"/>
        </w:rPr>
        <w:t xml:space="preserve"> </w:t>
      </w:r>
      <w:proofErr w:type="spellStart"/>
      <w:r w:rsidRPr="007B0ED8">
        <w:rPr>
          <w:rFonts w:ascii="Times New Roman" w:hAnsi="Times New Roman" w:cs="Courier New"/>
          <w:i/>
          <w:sz w:val="24"/>
          <w:lang w:val="en-US"/>
        </w:rPr>
        <w:t>Einordnung</w:t>
      </w:r>
      <w:proofErr w:type="spellEnd"/>
      <w:r w:rsidRPr="007B0ED8">
        <w:rPr>
          <w:rFonts w:ascii="Times New Roman" w:hAnsi="Times New Roman" w:cs="Courier New"/>
          <w:i/>
          <w:sz w:val="24"/>
          <w:lang w:val="en-US"/>
        </w:rPr>
        <w:t xml:space="preserve"> der </w:t>
      </w:r>
      <w:proofErr w:type="spellStart"/>
      <w:r w:rsidRPr="007B0ED8">
        <w:rPr>
          <w:rFonts w:ascii="Times New Roman" w:hAnsi="Times New Roman" w:cs="Courier New"/>
          <w:i/>
          <w:sz w:val="24"/>
          <w:lang w:val="en-US"/>
        </w:rPr>
        <w:t>manichäische-mittelpersischen</w:t>
      </w:r>
      <w:proofErr w:type="spellEnd"/>
      <w:r w:rsidRPr="007B0ED8">
        <w:rPr>
          <w:rFonts w:ascii="Times New Roman" w:hAnsi="Times New Roman" w:cs="Courier New"/>
          <w:i/>
          <w:sz w:val="24"/>
          <w:lang w:val="en-US"/>
        </w:rPr>
        <w:t xml:space="preserve"> </w:t>
      </w:r>
      <w:proofErr w:type="spellStart"/>
      <w:r w:rsidRPr="007B0ED8">
        <w:rPr>
          <w:rFonts w:ascii="Times New Roman" w:hAnsi="Times New Roman" w:cs="Courier New"/>
          <w:i/>
          <w:sz w:val="24"/>
          <w:lang w:val="en-US"/>
        </w:rPr>
        <w:t>Handschriften</w:t>
      </w:r>
      <w:proofErr w:type="spellEnd"/>
      <w:r w:rsidRPr="007B0ED8">
        <w:rPr>
          <w:rFonts w:ascii="Times New Roman" w:hAnsi="Times New Roman" w:cs="Courier New"/>
          <w:i/>
          <w:sz w:val="24"/>
          <w:lang w:val="en-US"/>
        </w:rPr>
        <w:t xml:space="preserve"> M 98/99 I und M 7980-7984</w:t>
      </w:r>
      <w:r w:rsidRPr="007B0ED8">
        <w:rPr>
          <w:rFonts w:ascii="Times New Roman" w:hAnsi="Times New Roman" w:cs="Courier New"/>
          <w:sz w:val="24"/>
          <w:lang w:val="en-US"/>
        </w:rPr>
        <w:t xml:space="preserve">, Wiesbaden.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 xml:space="preserve">King, Karen L. 2003. </w:t>
      </w:r>
      <w:r w:rsidRPr="007B0ED8">
        <w:rPr>
          <w:rFonts w:ascii="Times New Roman" w:hAnsi="Times New Roman" w:cs="Courier New"/>
          <w:i/>
          <w:sz w:val="24"/>
          <w:lang w:val="en-US"/>
        </w:rPr>
        <w:t>What is Gnosticism</w:t>
      </w:r>
      <w:proofErr w:type="gramStart"/>
      <w:r w:rsidRPr="007B0ED8">
        <w:rPr>
          <w:rFonts w:ascii="Times New Roman" w:hAnsi="Times New Roman" w:cs="Courier New"/>
          <w:i/>
          <w:sz w:val="24"/>
          <w:lang w:val="en-US"/>
        </w:rPr>
        <w:t>?</w:t>
      </w:r>
      <w:r w:rsidRPr="007B0ED8">
        <w:rPr>
          <w:rFonts w:ascii="Times New Roman" w:hAnsi="Times New Roman" w:cs="Courier New"/>
          <w:sz w:val="24"/>
          <w:lang w:val="en-US"/>
        </w:rPr>
        <w:t>,</w:t>
      </w:r>
      <w:proofErr w:type="gramEnd"/>
      <w:r w:rsidRPr="007B0ED8">
        <w:rPr>
          <w:rFonts w:ascii="Times New Roman" w:hAnsi="Times New Roman" w:cs="Courier New"/>
          <w:sz w:val="24"/>
          <w:lang w:val="en-US"/>
        </w:rPr>
        <w:t xml:space="preserve"> Cambridge Mass.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 xml:space="preserve">King, Karen L. 2006. </w:t>
      </w:r>
      <w:proofErr w:type="gramStart"/>
      <w:r w:rsidRPr="007B0ED8">
        <w:rPr>
          <w:rFonts w:ascii="Times New Roman" w:hAnsi="Times New Roman" w:cs="Courier New"/>
          <w:i/>
          <w:sz w:val="24"/>
          <w:lang w:val="en-US"/>
        </w:rPr>
        <w:t>The secret revelation of John</w:t>
      </w:r>
      <w:r w:rsidRPr="007B0ED8">
        <w:rPr>
          <w:rFonts w:ascii="Times New Roman" w:hAnsi="Times New Roman" w:cs="Courier New"/>
          <w:sz w:val="24"/>
          <w:lang w:val="en-US"/>
        </w:rPr>
        <w:t>, Cambridge Mass.</w:t>
      </w:r>
      <w:proofErr w:type="gramEnd"/>
      <w:r w:rsidRPr="007B0ED8">
        <w:rPr>
          <w:rFonts w:ascii="Times New Roman" w:hAnsi="Times New Roman" w:cs="Courier New"/>
          <w:sz w:val="24"/>
          <w:lang w:val="en-US"/>
        </w:rPr>
        <w:t xml:space="preserve">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proofErr w:type="gramStart"/>
      <w:r w:rsidRPr="007B0ED8">
        <w:rPr>
          <w:rFonts w:ascii="Times New Roman" w:hAnsi="Times New Roman" w:cs="Courier New"/>
          <w:sz w:val="24"/>
          <w:lang w:val="en-US"/>
        </w:rPr>
        <w:t>Klimkeit</w:t>
      </w:r>
      <w:proofErr w:type="spellEnd"/>
      <w:r w:rsidRPr="007B0ED8">
        <w:rPr>
          <w:rFonts w:ascii="Times New Roman" w:hAnsi="Times New Roman" w:cs="Courier New"/>
          <w:sz w:val="24"/>
          <w:lang w:val="en-US"/>
        </w:rPr>
        <w:t>, Hans-Joachim.</w:t>
      </w:r>
      <w:proofErr w:type="gramEnd"/>
      <w:r w:rsidRPr="007B0ED8">
        <w:rPr>
          <w:rFonts w:ascii="Times New Roman" w:hAnsi="Times New Roman" w:cs="Courier New"/>
          <w:sz w:val="24"/>
          <w:lang w:val="en-US"/>
        </w:rPr>
        <w:t xml:space="preserve"> 1993. </w:t>
      </w:r>
      <w:r w:rsidRPr="007B0ED8">
        <w:rPr>
          <w:rFonts w:ascii="Times New Roman" w:hAnsi="Times New Roman" w:cs="Courier New"/>
          <w:i/>
          <w:sz w:val="24"/>
          <w:lang w:val="en-US"/>
        </w:rPr>
        <w:t xml:space="preserve">Gnosis on the Silk </w:t>
      </w:r>
      <w:proofErr w:type="gramStart"/>
      <w:r w:rsidRPr="007B0ED8">
        <w:rPr>
          <w:rFonts w:ascii="Times New Roman" w:hAnsi="Times New Roman" w:cs="Courier New"/>
          <w:i/>
          <w:sz w:val="24"/>
          <w:lang w:val="en-US"/>
        </w:rPr>
        <w:t>road</w:t>
      </w:r>
      <w:proofErr w:type="gramEnd"/>
      <w:r w:rsidRPr="007B0ED8">
        <w:rPr>
          <w:rFonts w:ascii="Times New Roman" w:hAnsi="Times New Roman" w:cs="Courier New"/>
          <w:i/>
          <w:sz w:val="24"/>
          <w:lang w:val="en-US"/>
        </w:rPr>
        <w:t xml:space="preserve">: Gnostic texts from central Asia, translated &amp; resented by Hans-Joachim </w:t>
      </w:r>
      <w:proofErr w:type="spellStart"/>
      <w:r w:rsidRPr="007B0ED8">
        <w:rPr>
          <w:rFonts w:ascii="Times New Roman" w:hAnsi="Times New Roman" w:cs="Courier New"/>
          <w:i/>
          <w:sz w:val="24"/>
          <w:lang w:val="en-US"/>
        </w:rPr>
        <w:t>Klimkeit</w:t>
      </w:r>
      <w:proofErr w:type="spellEnd"/>
      <w:r w:rsidRPr="007B0ED8">
        <w:rPr>
          <w:rFonts w:ascii="Times New Roman" w:hAnsi="Times New Roman" w:cs="Courier New"/>
          <w:sz w:val="24"/>
          <w:lang w:val="en-US"/>
        </w:rPr>
        <w:t>, San Francisco.</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lang w:val="en-US"/>
        </w:rPr>
        <w:t>Klinghardt</w:t>
      </w:r>
      <w:proofErr w:type="spellEnd"/>
      <w:r w:rsidRPr="007B0ED8">
        <w:rPr>
          <w:rFonts w:ascii="Times New Roman" w:hAnsi="Times New Roman" w:cs="Courier New"/>
          <w:sz w:val="24"/>
          <w:lang w:val="en-US"/>
        </w:rPr>
        <w:t xml:space="preserve">, Matthias. 1996. </w:t>
      </w:r>
      <w:proofErr w:type="spellStart"/>
      <w:r w:rsidRPr="007B0ED8">
        <w:rPr>
          <w:rFonts w:ascii="Times New Roman" w:hAnsi="Times New Roman" w:cs="Courier New"/>
          <w:i/>
          <w:sz w:val="24"/>
          <w:lang w:val="en-US"/>
        </w:rPr>
        <w:t>Gemeinschaftsmahl</w:t>
      </w:r>
      <w:proofErr w:type="spellEnd"/>
      <w:r w:rsidRPr="007B0ED8">
        <w:rPr>
          <w:rFonts w:ascii="Times New Roman" w:hAnsi="Times New Roman" w:cs="Courier New"/>
          <w:i/>
          <w:sz w:val="24"/>
          <w:lang w:val="en-US"/>
        </w:rPr>
        <w:t xml:space="preserve"> und </w:t>
      </w:r>
      <w:proofErr w:type="spellStart"/>
      <w:r w:rsidRPr="007B0ED8">
        <w:rPr>
          <w:rFonts w:ascii="Times New Roman" w:hAnsi="Times New Roman" w:cs="Courier New"/>
          <w:i/>
          <w:sz w:val="24"/>
          <w:lang w:val="en-US"/>
        </w:rPr>
        <w:t>Mahlgemeinschaft</w:t>
      </w:r>
      <w:proofErr w:type="spellEnd"/>
      <w:r w:rsidRPr="007B0ED8">
        <w:rPr>
          <w:rFonts w:ascii="Times New Roman" w:hAnsi="Times New Roman" w:cs="Courier New"/>
          <w:i/>
          <w:sz w:val="24"/>
          <w:lang w:val="en-US"/>
        </w:rPr>
        <w:t xml:space="preserve">: </w:t>
      </w:r>
      <w:proofErr w:type="spellStart"/>
      <w:r w:rsidRPr="007B0ED8">
        <w:rPr>
          <w:rFonts w:ascii="Times New Roman" w:hAnsi="Times New Roman" w:cs="Courier New"/>
          <w:i/>
          <w:sz w:val="24"/>
          <w:lang w:val="en-US"/>
        </w:rPr>
        <w:t>Soziologie</w:t>
      </w:r>
      <w:proofErr w:type="spellEnd"/>
      <w:r w:rsidRPr="007B0ED8">
        <w:rPr>
          <w:rFonts w:ascii="Times New Roman" w:hAnsi="Times New Roman" w:cs="Courier New"/>
          <w:i/>
          <w:sz w:val="24"/>
          <w:lang w:val="en-US"/>
        </w:rPr>
        <w:t xml:space="preserve"> und </w:t>
      </w:r>
      <w:proofErr w:type="spellStart"/>
      <w:r w:rsidRPr="007B0ED8">
        <w:rPr>
          <w:rFonts w:ascii="Times New Roman" w:hAnsi="Times New Roman" w:cs="Courier New"/>
          <w:i/>
          <w:sz w:val="24"/>
          <w:lang w:val="en-US"/>
        </w:rPr>
        <w:t>Liturgie</w:t>
      </w:r>
      <w:proofErr w:type="spellEnd"/>
      <w:r w:rsidRPr="007B0ED8">
        <w:rPr>
          <w:rFonts w:ascii="Times New Roman" w:hAnsi="Times New Roman" w:cs="Courier New"/>
          <w:i/>
          <w:sz w:val="24"/>
          <w:lang w:val="en-US"/>
        </w:rPr>
        <w:t xml:space="preserve"> </w:t>
      </w:r>
      <w:proofErr w:type="spellStart"/>
      <w:r w:rsidRPr="007B0ED8">
        <w:rPr>
          <w:rFonts w:ascii="Times New Roman" w:hAnsi="Times New Roman" w:cs="Courier New"/>
          <w:i/>
          <w:sz w:val="24"/>
          <w:lang w:val="en-US"/>
        </w:rPr>
        <w:t>früchristlischer</w:t>
      </w:r>
      <w:proofErr w:type="spellEnd"/>
      <w:r w:rsidRPr="007B0ED8">
        <w:rPr>
          <w:rFonts w:ascii="Times New Roman" w:hAnsi="Times New Roman" w:cs="Courier New"/>
          <w:i/>
          <w:sz w:val="24"/>
          <w:lang w:val="en-US"/>
        </w:rPr>
        <w:t xml:space="preserve"> </w:t>
      </w:r>
      <w:proofErr w:type="spellStart"/>
      <w:r w:rsidRPr="007B0ED8">
        <w:rPr>
          <w:rFonts w:ascii="Times New Roman" w:hAnsi="Times New Roman" w:cs="Courier New"/>
          <w:i/>
          <w:sz w:val="24"/>
          <w:lang w:val="en-US"/>
        </w:rPr>
        <w:t>Mahlfeiern</w:t>
      </w:r>
      <w:proofErr w:type="spellEnd"/>
      <w:r w:rsidRPr="007B0ED8">
        <w:rPr>
          <w:rFonts w:ascii="Times New Roman" w:hAnsi="Times New Roman" w:cs="Courier New"/>
          <w:sz w:val="24"/>
          <w:lang w:val="en-US"/>
        </w:rPr>
        <w:t xml:space="preserve">, </w:t>
      </w:r>
      <w:proofErr w:type="spellStart"/>
      <w:r w:rsidRPr="007B0ED8">
        <w:rPr>
          <w:rFonts w:ascii="Times New Roman" w:hAnsi="Times New Roman" w:cs="Courier New"/>
          <w:sz w:val="24"/>
          <w:lang w:val="en-US"/>
        </w:rPr>
        <w:t>Tübingen</w:t>
      </w:r>
      <w:proofErr w:type="spellEnd"/>
      <w:r w:rsidRPr="007B0ED8">
        <w:rPr>
          <w:rFonts w:ascii="Times New Roman" w:hAnsi="Times New Roman" w:cs="Courier New"/>
          <w:sz w:val="24"/>
          <w:lang w:val="en-US"/>
        </w:rPr>
        <w:t xml:space="preserve">.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rPr>
      </w:pPr>
      <w:proofErr w:type="spellStart"/>
      <w:r w:rsidRPr="007B0ED8">
        <w:rPr>
          <w:rFonts w:ascii="Times New Roman" w:hAnsi="Times New Roman" w:cs="Courier New"/>
          <w:sz w:val="24"/>
        </w:rPr>
        <w:t>Koenen</w:t>
      </w:r>
      <w:proofErr w:type="spellEnd"/>
      <w:r w:rsidRPr="007B0ED8">
        <w:rPr>
          <w:rFonts w:ascii="Times New Roman" w:hAnsi="Times New Roman" w:cs="Courier New"/>
          <w:sz w:val="24"/>
        </w:rPr>
        <w:t xml:space="preserve">, Ludwig &amp; </w:t>
      </w:r>
      <w:proofErr w:type="spellStart"/>
      <w:r w:rsidRPr="007B0ED8">
        <w:rPr>
          <w:rFonts w:ascii="Times New Roman" w:hAnsi="Times New Roman" w:cs="Courier New"/>
          <w:sz w:val="24"/>
        </w:rPr>
        <w:t>Römer</w:t>
      </w:r>
      <w:proofErr w:type="spellEnd"/>
      <w:r w:rsidRPr="007B0ED8">
        <w:rPr>
          <w:rFonts w:ascii="Times New Roman" w:hAnsi="Times New Roman" w:cs="Courier New"/>
          <w:sz w:val="24"/>
        </w:rPr>
        <w:t xml:space="preserve">, Cornelia (red). 1988. </w:t>
      </w:r>
      <w:proofErr w:type="spellStart"/>
      <w:r w:rsidRPr="007B0ED8">
        <w:rPr>
          <w:rFonts w:ascii="Times New Roman" w:hAnsi="Times New Roman" w:cs="Courier New"/>
          <w:i/>
          <w:sz w:val="24"/>
        </w:rPr>
        <w:t>Der</w:t>
      </w:r>
      <w:proofErr w:type="spellEnd"/>
      <w:r w:rsidRPr="007B0ED8">
        <w:rPr>
          <w:rFonts w:ascii="Times New Roman" w:hAnsi="Times New Roman" w:cs="Courier New"/>
          <w:i/>
          <w:sz w:val="24"/>
        </w:rPr>
        <w:t xml:space="preserve"> </w:t>
      </w:r>
      <w:proofErr w:type="spellStart"/>
      <w:r w:rsidRPr="007B0ED8">
        <w:rPr>
          <w:rFonts w:ascii="Times New Roman" w:hAnsi="Times New Roman" w:cs="Courier New"/>
          <w:i/>
          <w:sz w:val="24"/>
        </w:rPr>
        <w:t>Kölner</w:t>
      </w:r>
      <w:proofErr w:type="spellEnd"/>
      <w:r w:rsidRPr="007B0ED8">
        <w:rPr>
          <w:rFonts w:ascii="Times New Roman" w:hAnsi="Times New Roman" w:cs="Courier New"/>
          <w:i/>
          <w:sz w:val="24"/>
        </w:rPr>
        <w:t xml:space="preserve"> Mani-Kodex: </w:t>
      </w:r>
      <w:proofErr w:type="spellStart"/>
      <w:r w:rsidRPr="007B0ED8">
        <w:rPr>
          <w:rFonts w:ascii="Times New Roman" w:hAnsi="Times New Roman" w:cs="Courier New"/>
          <w:i/>
          <w:sz w:val="24"/>
        </w:rPr>
        <w:t>Über</w:t>
      </w:r>
      <w:proofErr w:type="spellEnd"/>
      <w:r w:rsidRPr="007B0ED8">
        <w:rPr>
          <w:rFonts w:ascii="Times New Roman" w:hAnsi="Times New Roman" w:cs="Courier New"/>
          <w:i/>
          <w:sz w:val="24"/>
        </w:rPr>
        <w:t xml:space="preserve"> </w:t>
      </w:r>
      <w:proofErr w:type="spellStart"/>
      <w:r w:rsidRPr="007B0ED8">
        <w:rPr>
          <w:rFonts w:ascii="Times New Roman" w:hAnsi="Times New Roman" w:cs="Courier New"/>
          <w:i/>
          <w:sz w:val="24"/>
        </w:rPr>
        <w:t>das</w:t>
      </w:r>
      <w:proofErr w:type="spellEnd"/>
      <w:r w:rsidRPr="007B0ED8">
        <w:rPr>
          <w:rFonts w:ascii="Times New Roman" w:hAnsi="Times New Roman" w:cs="Courier New"/>
          <w:i/>
          <w:sz w:val="24"/>
        </w:rPr>
        <w:t xml:space="preserve"> </w:t>
      </w:r>
      <w:proofErr w:type="spellStart"/>
      <w:r w:rsidRPr="007B0ED8">
        <w:rPr>
          <w:rFonts w:ascii="Times New Roman" w:hAnsi="Times New Roman" w:cs="Courier New"/>
          <w:i/>
          <w:sz w:val="24"/>
        </w:rPr>
        <w:t>Werden</w:t>
      </w:r>
      <w:proofErr w:type="spellEnd"/>
      <w:r w:rsidRPr="007B0ED8">
        <w:rPr>
          <w:rFonts w:ascii="Times New Roman" w:hAnsi="Times New Roman" w:cs="Courier New"/>
          <w:i/>
          <w:sz w:val="24"/>
        </w:rPr>
        <w:t xml:space="preserve"> </w:t>
      </w:r>
      <w:proofErr w:type="spellStart"/>
      <w:r w:rsidRPr="007B0ED8">
        <w:rPr>
          <w:rFonts w:ascii="Times New Roman" w:hAnsi="Times New Roman" w:cs="Courier New"/>
          <w:i/>
          <w:sz w:val="24"/>
        </w:rPr>
        <w:t>seines</w:t>
      </w:r>
      <w:proofErr w:type="spellEnd"/>
      <w:r w:rsidRPr="007B0ED8">
        <w:rPr>
          <w:rFonts w:ascii="Times New Roman" w:hAnsi="Times New Roman" w:cs="Courier New"/>
          <w:i/>
          <w:sz w:val="24"/>
        </w:rPr>
        <w:t xml:space="preserve"> </w:t>
      </w:r>
      <w:proofErr w:type="spellStart"/>
      <w:r w:rsidRPr="007B0ED8">
        <w:rPr>
          <w:rFonts w:ascii="Times New Roman" w:hAnsi="Times New Roman" w:cs="Courier New"/>
          <w:i/>
          <w:sz w:val="24"/>
        </w:rPr>
        <w:t>Leibes</w:t>
      </w:r>
      <w:proofErr w:type="spellEnd"/>
      <w:r w:rsidRPr="007B0ED8">
        <w:rPr>
          <w:rFonts w:ascii="Times New Roman" w:hAnsi="Times New Roman" w:cs="Courier New"/>
          <w:sz w:val="24"/>
        </w:rPr>
        <w:t xml:space="preserve">, </w:t>
      </w:r>
      <w:proofErr w:type="spellStart"/>
      <w:r w:rsidRPr="007B0ED8">
        <w:rPr>
          <w:rFonts w:ascii="Times New Roman" w:hAnsi="Times New Roman" w:cs="Courier New"/>
          <w:sz w:val="24"/>
        </w:rPr>
        <w:t>Opladen</w:t>
      </w:r>
      <w:proofErr w:type="spellEnd"/>
      <w:r w:rsidRPr="007B0ED8">
        <w:rPr>
          <w:rFonts w:ascii="Times New Roman" w:hAnsi="Times New Roman" w:cs="Courier New"/>
          <w:sz w:val="24"/>
        </w:rPr>
        <w:t xml:space="preserve">.   </w:t>
      </w:r>
    </w:p>
    <w:p w:rsidR="00E5707F" w:rsidRPr="007B0ED8" w:rsidRDefault="00E5707F" w:rsidP="00E5707F">
      <w:pPr>
        <w:autoSpaceDE w:val="0"/>
        <w:autoSpaceDN w:val="0"/>
        <w:adjustRightInd w:val="0"/>
        <w:spacing w:after="0" w:line="240" w:lineRule="auto"/>
        <w:rPr>
          <w:rFonts w:ascii="Times New Roman" w:hAnsi="Times New Roman" w:cs="Courier New"/>
          <w:sz w:val="24"/>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 xml:space="preserve">Lieu, Samuel N. C. 1994. </w:t>
      </w:r>
      <w:proofErr w:type="gramStart"/>
      <w:r w:rsidRPr="007B0ED8">
        <w:rPr>
          <w:rFonts w:ascii="Times New Roman" w:hAnsi="Times New Roman" w:cs="Courier New"/>
          <w:i/>
          <w:sz w:val="24"/>
          <w:lang w:val="en-US"/>
        </w:rPr>
        <w:t>Manichaeism in Mesopotamia and the Roman East</w:t>
      </w:r>
      <w:r w:rsidRPr="007B0ED8">
        <w:rPr>
          <w:rFonts w:ascii="Times New Roman" w:hAnsi="Times New Roman" w:cs="Courier New"/>
          <w:sz w:val="24"/>
          <w:lang w:val="en-US"/>
        </w:rPr>
        <w:t>, Leiden.</w:t>
      </w:r>
      <w:proofErr w:type="gramEnd"/>
      <w:r w:rsidRPr="007B0ED8">
        <w:rPr>
          <w:rFonts w:ascii="Times New Roman" w:hAnsi="Times New Roman" w:cs="Courier New"/>
          <w:sz w:val="24"/>
          <w:lang w:val="en-US"/>
        </w:rPr>
        <w:t xml:space="preserve">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 xml:space="preserve">Lieu, Samuel N. C. 1998. </w:t>
      </w:r>
      <w:proofErr w:type="gramStart"/>
      <w:r w:rsidRPr="007B0ED8">
        <w:rPr>
          <w:rFonts w:ascii="Times New Roman" w:hAnsi="Times New Roman" w:cs="Courier New"/>
          <w:i/>
          <w:sz w:val="24"/>
          <w:lang w:val="en-US"/>
        </w:rPr>
        <w:t>Manichaeism in central Asia and China</w:t>
      </w:r>
      <w:r w:rsidRPr="007B0ED8">
        <w:rPr>
          <w:rFonts w:ascii="Times New Roman" w:hAnsi="Times New Roman" w:cs="Courier New"/>
          <w:sz w:val="24"/>
          <w:lang w:val="en-US"/>
        </w:rPr>
        <w:t>, Leiden.</w:t>
      </w:r>
      <w:proofErr w:type="gramEnd"/>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roofErr w:type="spellStart"/>
      <w:r w:rsidRPr="007B0ED8">
        <w:rPr>
          <w:rFonts w:ascii="Times New Roman" w:hAnsi="Times New Roman" w:cs="Courier New"/>
          <w:sz w:val="24"/>
          <w:lang w:val="en-US"/>
        </w:rPr>
        <w:t>Luttikhuizen</w:t>
      </w:r>
      <w:proofErr w:type="spellEnd"/>
      <w:r w:rsidRPr="007B0ED8">
        <w:rPr>
          <w:rFonts w:ascii="Times New Roman" w:hAnsi="Times New Roman" w:cs="Courier New"/>
          <w:sz w:val="24"/>
          <w:lang w:val="en-US"/>
        </w:rPr>
        <w:t xml:space="preserve">, Gerard P. 1985. </w:t>
      </w:r>
      <w:r w:rsidRPr="007B0ED8">
        <w:rPr>
          <w:rFonts w:ascii="Times New Roman" w:hAnsi="Times New Roman" w:cs="Courier New"/>
          <w:i/>
          <w:sz w:val="24"/>
          <w:lang w:val="en-US"/>
        </w:rPr>
        <w:t xml:space="preserve">The revelation of </w:t>
      </w:r>
      <w:proofErr w:type="spellStart"/>
      <w:r w:rsidRPr="007B0ED8">
        <w:rPr>
          <w:rFonts w:ascii="Times New Roman" w:hAnsi="Times New Roman" w:cs="Courier New"/>
          <w:i/>
          <w:sz w:val="24"/>
          <w:lang w:val="en-US"/>
        </w:rPr>
        <w:t>Elchasai</w:t>
      </w:r>
      <w:proofErr w:type="spellEnd"/>
      <w:r w:rsidRPr="007B0ED8">
        <w:rPr>
          <w:rFonts w:ascii="Times New Roman" w:hAnsi="Times New Roman" w:cs="Courier New"/>
          <w:i/>
          <w:sz w:val="24"/>
          <w:lang w:val="en-US"/>
        </w:rPr>
        <w:t>: Investigations into the evidence for a Mesopotamian Jewish apocalypse of the second century and its reception by Judeo-Christian propagandists</w:t>
      </w:r>
      <w:r w:rsidRPr="007B0ED8">
        <w:rPr>
          <w:rFonts w:ascii="Times New Roman" w:hAnsi="Times New Roman" w:cs="Courier New"/>
          <w:sz w:val="24"/>
          <w:lang w:val="en-US"/>
        </w:rPr>
        <w:t xml:space="preserve">, </w:t>
      </w:r>
      <w:proofErr w:type="spellStart"/>
      <w:r w:rsidRPr="007B0ED8">
        <w:rPr>
          <w:rFonts w:ascii="Times New Roman" w:hAnsi="Times New Roman" w:cs="Courier New"/>
          <w:sz w:val="24"/>
          <w:lang w:val="en-US"/>
        </w:rPr>
        <w:t>Tübingen</w:t>
      </w:r>
      <w:proofErr w:type="spellEnd"/>
      <w:r w:rsidRPr="007B0ED8">
        <w:rPr>
          <w:rFonts w:ascii="Times New Roman" w:hAnsi="Times New Roman" w:cs="Courier New"/>
          <w:sz w:val="24"/>
          <w:lang w:val="en-US"/>
        </w:rPr>
        <w:t xml:space="preserve">.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rPr>
      </w:pPr>
      <w:r w:rsidRPr="007B0ED8">
        <w:rPr>
          <w:rFonts w:ascii="Times New Roman" w:hAnsi="Times New Roman" w:cs="Courier New"/>
          <w:sz w:val="24"/>
        </w:rPr>
        <w:t xml:space="preserve">Magnusson, Jörgen. 2012. “Bortom vägs ände, eller klarsyntheten som förblindade: En analys av en så kallad </w:t>
      </w:r>
      <w:proofErr w:type="spellStart"/>
      <w:r w:rsidRPr="007B0ED8">
        <w:rPr>
          <w:rFonts w:ascii="Times New Roman" w:hAnsi="Times New Roman" w:cs="Courier New"/>
          <w:sz w:val="24"/>
        </w:rPr>
        <w:t>akosmisk</w:t>
      </w:r>
      <w:proofErr w:type="spellEnd"/>
      <w:r w:rsidRPr="007B0ED8">
        <w:rPr>
          <w:rFonts w:ascii="Times New Roman" w:hAnsi="Times New Roman" w:cs="Courier New"/>
          <w:sz w:val="24"/>
        </w:rPr>
        <w:t xml:space="preserve"> etik i Sanningens evangelium från </w:t>
      </w:r>
      <w:proofErr w:type="spellStart"/>
      <w:r w:rsidRPr="007B0ED8">
        <w:rPr>
          <w:rFonts w:ascii="Times New Roman" w:hAnsi="Times New Roman" w:cs="Courier New"/>
          <w:sz w:val="24"/>
        </w:rPr>
        <w:t>Nag</w:t>
      </w:r>
      <w:proofErr w:type="spellEnd"/>
      <w:r w:rsidRPr="007B0ED8">
        <w:rPr>
          <w:rFonts w:ascii="Times New Roman" w:hAnsi="Times New Roman" w:cs="Courier New"/>
          <w:sz w:val="24"/>
        </w:rPr>
        <w:t xml:space="preserve"> Hammadi”, </w:t>
      </w:r>
      <w:r w:rsidRPr="007B0ED8">
        <w:rPr>
          <w:rFonts w:ascii="Times New Roman" w:hAnsi="Times New Roman" w:cs="Courier New"/>
          <w:i/>
          <w:sz w:val="24"/>
        </w:rPr>
        <w:t>Svensk exegetisk årsbok</w:t>
      </w:r>
      <w:r w:rsidRPr="007B0ED8">
        <w:rPr>
          <w:rFonts w:ascii="Times New Roman" w:hAnsi="Times New Roman" w:cs="Courier New"/>
          <w:sz w:val="24"/>
        </w:rPr>
        <w:t xml:space="preserve">, 77, Samuel </w:t>
      </w:r>
      <w:proofErr w:type="spellStart"/>
      <w:r w:rsidRPr="007B0ED8">
        <w:rPr>
          <w:rFonts w:ascii="Times New Roman" w:hAnsi="Times New Roman" w:cs="Courier New"/>
          <w:sz w:val="24"/>
        </w:rPr>
        <w:t>Byrskog</w:t>
      </w:r>
      <w:proofErr w:type="spellEnd"/>
      <w:r w:rsidRPr="007B0ED8">
        <w:rPr>
          <w:rFonts w:ascii="Times New Roman" w:hAnsi="Times New Roman" w:cs="Courier New"/>
          <w:sz w:val="24"/>
        </w:rPr>
        <w:t xml:space="preserve"> (red.), Uppsala, 225-254.    </w:t>
      </w:r>
    </w:p>
    <w:p w:rsidR="00E5707F" w:rsidRPr="007B0ED8" w:rsidRDefault="00E5707F" w:rsidP="00E5707F">
      <w:pPr>
        <w:autoSpaceDE w:val="0"/>
        <w:autoSpaceDN w:val="0"/>
        <w:adjustRightInd w:val="0"/>
        <w:spacing w:after="0" w:line="240" w:lineRule="auto"/>
        <w:rPr>
          <w:rFonts w:ascii="Times New Roman" w:hAnsi="Times New Roman" w:cs="Courier New"/>
          <w:sz w:val="24"/>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 xml:space="preserve">Paden, William E. 2008. ”Comparison in the study of religion”, </w:t>
      </w:r>
      <w:r w:rsidRPr="007B0ED8">
        <w:rPr>
          <w:rFonts w:ascii="Times New Roman" w:hAnsi="Times New Roman" w:cs="Courier New"/>
          <w:i/>
          <w:sz w:val="24"/>
          <w:lang w:val="en-US"/>
        </w:rPr>
        <w:t>New approaches to the study of religion vol. 2: Textual, comparative, sociological and cognitive approaches</w:t>
      </w:r>
      <w:r w:rsidRPr="007B0ED8">
        <w:rPr>
          <w:rFonts w:ascii="Times New Roman" w:hAnsi="Times New Roman" w:cs="Courier New"/>
          <w:sz w:val="24"/>
          <w:lang w:val="en-US"/>
        </w:rPr>
        <w:t xml:space="preserve">, Peter Antes m </w:t>
      </w:r>
      <w:proofErr w:type="spellStart"/>
      <w:r w:rsidRPr="007B0ED8">
        <w:rPr>
          <w:rFonts w:ascii="Times New Roman" w:hAnsi="Times New Roman" w:cs="Courier New"/>
          <w:sz w:val="24"/>
          <w:lang w:val="en-US"/>
        </w:rPr>
        <w:t>fl</w:t>
      </w:r>
      <w:proofErr w:type="spellEnd"/>
      <w:r w:rsidRPr="007B0ED8">
        <w:rPr>
          <w:rFonts w:ascii="Times New Roman" w:hAnsi="Times New Roman" w:cs="Courier New"/>
          <w:sz w:val="24"/>
          <w:lang w:val="en-US"/>
        </w:rPr>
        <w:t xml:space="preserve"> (red.), Berlin &amp; New York, 77-92.   </w:t>
      </w: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p>
    <w:p w:rsidR="00E5707F" w:rsidRPr="007B0ED8" w:rsidRDefault="00E5707F" w:rsidP="00E5707F">
      <w:pPr>
        <w:autoSpaceDE w:val="0"/>
        <w:autoSpaceDN w:val="0"/>
        <w:adjustRightInd w:val="0"/>
        <w:spacing w:after="0" w:line="240" w:lineRule="auto"/>
        <w:rPr>
          <w:rFonts w:ascii="Times New Roman" w:hAnsi="Times New Roman" w:cs="Courier New"/>
          <w:sz w:val="24"/>
          <w:lang w:val="en-US"/>
        </w:rPr>
      </w:pPr>
      <w:r w:rsidRPr="007B0ED8">
        <w:rPr>
          <w:rFonts w:ascii="Times New Roman" w:hAnsi="Times New Roman" w:cs="Courier New"/>
          <w:sz w:val="24"/>
          <w:lang w:val="en-US"/>
        </w:rPr>
        <w:t xml:space="preserve">Pedersen, Nils Arne (red). 2006. </w:t>
      </w:r>
      <w:r w:rsidRPr="007B0ED8">
        <w:rPr>
          <w:rFonts w:ascii="Times New Roman" w:hAnsi="Times New Roman" w:cs="Courier New"/>
          <w:i/>
          <w:sz w:val="24"/>
          <w:lang w:val="en-US"/>
        </w:rPr>
        <w:t>Manichaean homilies: With a number of hitherto unpublished fragments</w:t>
      </w:r>
      <w:r w:rsidRPr="007B0ED8">
        <w:rPr>
          <w:rFonts w:ascii="Times New Roman" w:hAnsi="Times New Roman" w:cs="Courier New"/>
          <w:sz w:val="24"/>
          <w:lang w:val="en-US"/>
        </w:rPr>
        <w:t xml:space="preserve">, </w:t>
      </w:r>
      <w:proofErr w:type="spellStart"/>
      <w:r w:rsidRPr="007B0ED8">
        <w:rPr>
          <w:rFonts w:ascii="Times New Roman" w:hAnsi="Times New Roman" w:cs="Courier New"/>
          <w:sz w:val="24"/>
          <w:lang w:val="en-US"/>
        </w:rPr>
        <w:t>Turnhout</w:t>
      </w:r>
      <w:proofErr w:type="spellEnd"/>
      <w:r w:rsidRPr="007B0ED8">
        <w:rPr>
          <w:rFonts w:ascii="Times New Roman" w:hAnsi="Times New Roman" w:cs="Courier New"/>
          <w:sz w:val="24"/>
          <w:lang w:val="en-US"/>
        </w:rPr>
        <w:t xml:space="preserve">.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spellStart"/>
      <w:r w:rsidRPr="007B0ED8">
        <w:rPr>
          <w:rFonts w:ascii="Times New Roman" w:hAnsi="Times New Roman"/>
          <w:sz w:val="24"/>
          <w:lang w:val="en-US"/>
        </w:rPr>
        <w:t>Pettipiece</w:t>
      </w:r>
      <w:proofErr w:type="spellEnd"/>
      <w:r w:rsidRPr="007B0ED8">
        <w:rPr>
          <w:rFonts w:ascii="Times New Roman" w:hAnsi="Times New Roman"/>
          <w:sz w:val="24"/>
          <w:lang w:val="en-US"/>
        </w:rPr>
        <w:t xml:space="preserve">, Timothy. 2009. </w:t>
      </w:r>
      <w:proofErr w:type="spellStart"/>
      <w:r w:rsidRPr="007B0ED8">
        <w:rPr>
          <w:rFonts w:ascii="Times New Roman" w:hAnsi="Times New Roman"/>
          <w:i/>
          <w:sz w:val="24"/>
          <w:lang w:val="en-US"/>
        </w:rPr>
        <w:t>Pentadic</w:t>
      </w:r>
      <w:proofErr w:type="spellEnd"/>
      <w:r w:rsidRPr="007B0ED8">
        <w:rPr>
          <w:rFonts w:ascii="Times New Roman" w:hAnsi="Times New Roman"/>
          <w:i/>
          <w:sz w:val="24"/>
          <w:lang w:val="en-US"/>
        </w:rPr>
        <w:t xml:space="preserve"> redaction in the Manichaean </w:t>
      </w:r>
      <w:proofErr w:type="spellStart"/>
      <w:r w:rsidRPr="007B0ED8">
        <w:rPr>
          <w:rFonts w:ascii="Times New Roman" w:hAnsi="Times New Roman"/>
          <w:i/>
          <w:sz w:val="24"/>
          <w:lang w:val="en-US"/>
        </w:rPr>
        <w:t>Kephalaia</w:t>
      </w:r>
      <w:proofErr w:type="spellEnd"/>
      <w:r w:rsidRPr="007B0ED8">
        <w:rPr>
          <w:rFonts w:ascii="Times New Roman" w:hAnsi="Times New Roman"/>
          <w:sz w:val="24"/>
          <w:lang w:val="en-US"/>
        </w:rPr>
        <w:t xml:space="preserve">, Leiden &amp; Boston.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spellStart"/>
      <w:r w:rsidRPr="007B0ED8">
        <w:rPr>
          <w:rFonts w:ascii="Times New Roman" w:hAnsi="Times New Roman"/>
          <w:sz w:val="24"/>
          <w:lang w:val="en-US"/>
        </w:rPr>
        <w:t>Rijksbaron</w:t>
      </w:r>
      <w:proofErr w:type="spellEnd"/>
      <w:r w:rsidRPr="007B0ED8">
        <w:rPr>
          <w:rFonts w:ascii="Times New Roman" w:hAnsi="Times New Roman"/>
          <w:sz w:val="24"/>
          <w:lang w:val="en-US"/>
        </w:rPr>
        <w:t xml:space="preserve">, A. </w:t>
      </w:r>
      <w:proofErr w:type="spellStart"/>
      <w:r w:rsidRPr="007B0ED8">
        <w:rPr>
          <w:rFonts w:ascii="Times New Roman" w:hAnsi="Times New Roman"/>
          <w:sz w:val="24"/>
          <w:lang w:val="en-US"/>
        </w:rPr>
        <w:t>Worp</w:t>
      </w:r>
      <w:proofErr w:type="spellEnd"/>
      <w:r w:rsidRPr="007B0ED8">
        <w:rPr>
          <w:rFonts w:ascii="Times New Roman" w:hAnsi="Times New Roman"/>
          <w:sz w:val="24"/>
          <w:lang w:val="en-US"/>
        </w:rPr>
        <w:t xml:space="preserve">, Klaus A. (red). 1997. </w:t>
      </w:r>
      <w:r w:rsidRPr="007B0ED8">
        <w:rPr>
          <w:rFonts w:ascii="Times New Roman" w:hAnsi="Times New Roman"/>
          <w:i/>
          <w:sz w:val="24"/>
          <w:lang w:val="en-US"/>
        </w:rPr>
        <w:t xml:space="preserve">The </w:t>
      </w:r>
      <w:proofErr w:type="spellStart"/>
      <w:r w:rsidRPr="007B0ED8">
        <w:rPr>
          <w:rFonts w:ascii="Times New Roman" w:hAnsi="Times New Roman"/>
          <w:i/>
          <w:sz w:val="24"/>
          <w:lang w:val="en-US"/>
        </w:rPr>
        <w:t>Kellis</w:t>
      </w:r>
      <w:proofErr w:type="spellEnd"/>
      <w:r w:rsidRPr="007B0ED8">
        <w:rPr>
          <w:rFonts w:ascii="Times New Roman" w:hAnsi="Times New Roman"/>
          <w:i/>
          <w:sz w:val="24"/>
          <w:lang w:val="en-US"/>
        </w:rPr>
        <w:t xml:space="preserve"> Isocrates codex</w:t>
      </w:r>
      <w:r w:rsidRPr="007B0ED8">
        <w:rPr>
          <w:rFonts w:ascii="Times New Roman" w:hAnsi="Times New Roman"/>
          <w:sz w:val="24"/>
          <w:lang w:val="en-US"/>
        </w:rPr>
        <w:t xml:space="preserve">, Oxford.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r w:rsidRPr="007B0ED8">
        <w:rPr>
          <w:rFonts w:ascii="Times New Roman" w:hAnsi="Times New Roman"/>
          <w:sz w:val="24"/>
          <w:lang w:val="en-US"/>
        </w:rPr>
        <w:t xml:space="preserve">Rowlandson, Jane. 1998. </w:t>
      </w:r>
      <w:r w:rsidRPr="007B0ED8">
        <w:rPr>
          <w:rFonts w:ascii="Times New Roman" w:hAnsi="Times New Roman"/>
          <w:i/>
          <w:sz w:val="24"/>
          <w:lang w:val="en-US"/>
        </w:rPr>
        <w:t>Women and society in Greek and Roman Egypt: A sourcebook</w:t>
      </w:r>
      <w:r w:rsidRPr="007B0ED8">
        <w:rPr>
          <w:rFonts w:ascii="Times New Roman" w:hAnsi="Times New Roman"/>
          <w:sz w:val="24"/>
          <w:lang w:val="en-US"/>
        </w:rPr>
        <w:t>, Cambridge.</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r w:rsidRPr="007B0ED8">
        <w:rPr>
          <w:rFonts w:ascii="Times New Roman" w:hAnsi="Times New Roman"/>
          <w:sz w:val="24"/>
          <w:lang w:val="en-US"/>
        </w:rPr>
        <w:t xml:space="preserve">Russell, James C. 1994. </w:t>
      </w:r>
      <w:r w:rsidRPr="007B0ED8">
        <w:rPr>
          <w:rFonts w:ascii="Times New Roman" w:hAnsi="Times New Roman"/>
          <w:i/>
          <w:sz w:val="24"/>
          <w:lang w:val="en-US"/>
        </w:rPr>
        <w:t xml:space="preserve">The </w:t>
      </w:r>
      <w:proofErr w:type="spellStart"/>
      <w:r w:rsidRPr="007B0ED8">
        <w:rPr>
          <w:rFonts w:ascii="Times New Roman" w:hAnsi="Times New Roman"/>
          <w:i/>
          <w:sz w:val="24"/>
          <w:lang w:val="en-US"/>
        </w:rPr>
        <w:t>germanization</w:t>
      </w:r>
      <w:proofErr w:type="spellEnd"/>
      <w:r w:rsidRPr="007B0ED8">
        <w:rPr>
          <w:rFonts w:ascii="Times New Roman" w:hAnsi="Times New Roman"/>
          <w:i/>
          <w:sz w:val="24"/>
          <w:lang w:val="en-US"/>
        </w:rPr>
        <w:t xml:space="preserve"> of early medieval Christianity: A </w:t>
      </w:r>
      <w:proofErr w:type="spellStart"/>
      <w:r w:rsidRPr="007B0ED8">
        <w:rPr>
          <w:rFonts w:ascii="Times New Roman" w:hAnsi="Times New Roman"/>
          <w:i/>
          <w:sz w:val="24"/>
          <w:lang w:val="en-US"/>
        </w:rPr>
        <w:t>sociohistorical</w:t>
      </w:r>
      <w:proofErr w:type="spellEnd"/>
      <w:r w:rsidRPr="007B0ED8">
        <w:rPr>
          <w:rFonts w:ascii="Times New Roman" w:hAnsi="Times New Roman"/>
          <w:i/>
          <w:sz w:val="24"/>
          <w:lang w:val="en-US"/>
        </w:rPr>
        <w:t xml:space="preserve"> approach to religious transformation</w:t>
      </w:r>
      <w:r w:rsidRPr="007B0ED8">
        <w:rPr>
          <w:rFonts w:ascii="Times New Roman" w:hAnsi="Times New Roman"/>
          <w:sz w:val="24"/>
          <w:lang w:val="en-US"/>
        </w:rPr>
        <w:t xml:space="preserve">, New York &amp; Oxford.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spellStart"/>
      <w:r w:rsidRPr="007B0ED8">
        <w:rPr>
          <w:rFonts w:ascii="Times New Roman" w:hAnsi="Times New Roman"/>
          <w:sz w:val="24"/>
          <w:lang w:val="en-US"/>
        </w:rPr>
        <w:t>Scopello</w:t>
      </w:r>
      <w:proofErr w:type="spellEnd"/>
      <w:r w:rsidRPr="007B0ED8">
        <w:rPr>
          <w:rFonts w:ascii="Times New Roman" w:hAnsi="Times New Roman"/>
          <w:sz w:val="24"/>
          <w:lang w:val="en-US"/>
        </w:rPr>
        <w:t xml:space="preserve">, </w:t>
      </w:r>
      <w:proofErr w:type="spellStart"/>
      <w:r w:rsidRPr="007B0ED8">
        <w:rPr>
          <w:rFonts w:ascii="Times New Roman" w:hAnsi="Times New Roman"/>
          <w:sz w:val="24"/>
          <w:lang w:val="en-US"/>
        </w:rPr>
        <w:t>Maddalena</w:t>
      </w:r>
      <w:proofErr w:type="spellEnd"/>
      <w:r w:rsidRPr="007B0ED8">
        <w:rPr>
          <w:rFonts w:ascii="Times New Roman" w:hAnsi="Times New Roman"/>
          <w:sz w:val="24"/>
          <w:lang w:val="en-US"/>
        </w:rPr>
        <w:t>. 1995. “</w:t>
      </w:r>
      <w:proofErr w:type="spellStart"/>
      <w:r w:rsidRPr="007B0ED8">
        <w:rPr>
          <w:rFonts w:ascii="Times New Roman" w:hAnsi="Times New Roman"/>
          <w:sz w:val="24"/>
          <w:lang w:val="en-US"/>
        </w:rPr>
        <w:t>Vérités</w:t>
      </w:r>
      <w:proofErr w:type="spellEnd"/>
      <w:r w:rsidRPr="007B0ED8">
        <w:rPr>
          <w:rFonts w:ascii="Times New Roman" w:hAnsi="Times New Roman"/>
          <w:sz w:val="24"/>
          <w:lang w:val="en-US"/>
        </w:rPr>
        <w:t xml:space="preserve"> </w:t>
      </w:r>
      <w:proofErr w:type="gramStart"/>
      <w:r w:rsidRPr="007B0ED8">
        <w:rPr>
          <w:rFonts w:ascii="Times New Roman" w:hAnsi="Times New Roman"/>
          <w:sz w:val="24"/>
          <w:lang w:val="en-US"/>
        </w:rPr>
        <w:t>et</w:t>
      </w:r>
      <w:proofErr w:type="gramEnd"/>
      <w:r w:rsidRPr="007B0ED8">
        <w:rPr>
          <w:rFonts w:ascii="Times New Roman" w:hAnsi="Times New Roman"/>
          <w:sz w:val="24"/>
          <w:lang w:val="en-US"/>
        </w:rPr>
        <w:t xml:space="preserve"> </w:t>
      </w:r>
      <w:proofErr w:type="spellStart"/>
      <w:r w:rsidRPr="007B0ED8">
        <w:rPr>
          <w:rFonts w:ascii="Times New Roman" w:hAnsi="Times New Roman"/>
          <w:sz w:val="24"/>
          <w:lang w:val="en-US"/>
        </w:rPr>
        <w:t>contre-vérités</w:t>
      </w:r>
      <w:proofErr w:type="spellEnd"/>
      <w:r w:rsidRPr="007B0ED8">
        <w:rPr>
          <w:rFonts w:ascii="Times New Roman" w:hAnsi="Times New Roman"/>
          <w:sz w:val="24"/>
          <w:lang w:val="en-US"/>
        </w:rPr>
        <w:t xml:space="preserve">: La vie de Mani </w:t>
      </w:r>
      <w:proofErr w:type="spellStart"/>
      <w:r w:rsidRPr="007B0ED8">
        <w:rPr>
          <w:rFonts w:ascii="Times New Roman" w:hAnsi="Times New Roman"/>
          <w:sz w:val="24"/>
          <w:lang w:val="en-US"/>
        </w:rPr>
        <w:t>selon</w:t>
      </w:r>
      <w:proofErr w:type="spellEnd"/>
      <w:r w:rsidRPr="007B0ED8">
        <w:rPr>
          <w:rFonts w:ascii="Times New Roman" w:hAnsi="Times New Roman"/>
          <w:sz w:val="24"/>
          <w:lang w:val="en-US"/>
        </w:rPr>
        <w:t xml:space="preserve"> les </w:t>
      </w:r>
      <w:proofErr w:type="spellStart"/>
      <w:r w:rsidRPr="007B0ED8">
        <w:rPr>
          <w:rFonts w:ascii="Times New Roman" w:hAnsi="Times New Roman"/>
          <w:sz w:val="24"/>
          <w:lang w:val="en-US"/>
        </w:rPr>
        <w:t>Acta</w:t>
      </w:r>
      <w:proofErr w:type="spellEnd"/>
      <w:r w:rsidRPr="007B0ED8">
        <w:rPr>
          <w:rFonts w:ascii="Times New Roman" w:hAnsi="Times New Roman"/>
          <w:sz w:val="24"/>
          <w:lang w:val="en-US"/>
        </w:rPr>
        <w:t xml:space="preserve"> </w:t>
      </w:r>
      <w:proofErr w:type="spellStart"/>
      <w:r w:rsidRPr="007B0ED8">
        <w:rPr>
          <w:rFonts w:ascii="Times New Roman" w:hAnsi="Times New Roman"/>
          <w:sz w:val="24"/>
          <w:lang w:val="en-US"/>
        </w:rPr>
        <w:t>Archelai</w:t>
      </w:r>
      <w:proofErr w:type="spellEnd"/>
      <w:r w:rsidRPr="007B0ED8">
        <w:rPr>
          <w:rFonts w:ascii="Times New Roman" w:hAnsi="Times New Roman"/>
          <w:sz w:val="24"/>
          <w:lang w:val="en-US"/>
        </w:rPr>
        <w:t xml:space="preserve">”, </w:t>
      </w:r>
      <w:r w:rsidRPr="007B0ED8">
        <w:rPr>
          <w:rFonts w:ascii="Times New Roman" w:hAnsi="Times New Roman"/>
          <w:i/>
          <w:sz w:val="24"/>
          <w:lang w:val="en-US"/>
        </w:rPr>
        <w:t>Apocrypha 6</w:t>
      </w:r>
      <w:r w:rsidRPr="007B0ED8">
        <w:rPr>
          <w:rFonts w:ascii="Times New Roman" w:hAnsi="Times New Roman"/>
          <w:sz w:val="24"/>
          <w:lang w:val="en-US"/>
        </w:rPr>
        <w:t>, 203-234.</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r w:rsidRPr="007B0ED8">
        <w:rPr>
          <w:rFonts w:ascii="Times New Roman" w:hAnsi="Times New Roman"/>
          <w:sz w:val="24"/>
          <w:lang w:val="en-US"/>
        </w:rPr>
        <w:t xml:space="preserve">Smith, Dennis E. 2003. </w:t>
      </w:r>
      <w:r w:rsidRPr="007B0ED8">
        <w:rPr>
          <w:rFonts w:ascii="Times New Roman" w:hAnsi="Times New Roman"/>
          <w:i/>
          <w:sz w:val="24"/>
          <w:lang w:val="en-US"/>
        </w:rPr>
        <w:t xml:space="preserve">From symposium to </w:t>
      </w:r>
      <w:proofErr w:type="spellStart"/>
      <w:proofErr w:type="gramStart"/>
      <w:r w:rsidRPr="007B0ED8">
        <w:rPr>
          <w:rFonts w:ascii="Times New Roman" w:hAnsi="Times New Roman"/>
          <w:i/>
          <w:sz w:val="24"/>
          <w:lang w:val="en-US"/>
        </w:rPr>
        <w:t>eucharist</w:t>
      </w:r>
      <w:proofErr w:type="spellEnd"/>
      <w:proofErr w:type="gramEnd"/>
      <w:r w:rsidRPr="007B0ED8">
        <w:rPr>
          <w:rFonts w:ascii="Times New Roman" w:hAnsi="Times New Roman"/>
          <w:i/>
          <w:sz w:val="24"/>
          <w:lang w:val="en-US"/>
        </w:rPr>
        <w:t>: The banquet in the early Christian world</w:t>
      </w:r>
      <w:r w:rsidRPr="007B0ED8">
        <w:rPr>
          <w:rFonts w:ascii="Times New Roman" w:hAnsi="Times New Roman"/>
          <w:sz w:val="24"/>
          <w:lang w:val="en-US"/>
        </w:rPr>
        <w:t xml:space="preserve">, Augsburg &amp; Minneapolis.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r w:rsidRPr="007B0ED8">
        <w:rPr>
          <w:rFonts w:ascii="Times New Roman" w:hAnsi="Times New Roman"/>
          <w:sz w:val="24"/>
          <w:lang w:val="en-US"/>
        </w:rPr>
        <w:t xml:space="preserve">Stark, Rodney. 1996. </w:t>
      </w:r>
      <w:r w:rsidRPr="007B0ED8">
        <w:rPr>
          <w:rFonts w:ascii="Times New Roman" w:hAnsi="Times New Roman"/>
          <w:i/>
          <w:sz w:val="24"/>
          <w:lang w:val="en-US"/>
        </w:rPr>
        <w:t>The rise of Christianity: A sociologist reconsiders history</w:t>
      </w:r>
      <w:r w:rsidRPr="007B0ED8">
        <w:rPr>
          <w:rFonts w:ascii="Times New Roman" w:hAnsi="Times New Roman"/>
          <w:sz w:val="24"/>
          <w:lang w:val="en-US"/>
        </w:rPr>
        <w:t xml:space="preserve">, Princeton.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r w:rsidRPr="007B0ED8">
        <w:rPr>
          <w:rFonts w:ascii="Times New Roman" w:hAnsi="Times New Roman"/>
          <w:sz w:val="24"/>
          <w:lang w:val="en-US"/>
        </w:rPr>
        <w:t xml:space="preserve">Stark, Rodney. 2001. </w:t>
      </w:r>
      <w:r w:rsidRPr="007B0ED8">
        <w:rPr>
          <w:rFonts w:ascii="Times New Roman" w:hAnsi="Times New Roman"/>
          <w:i/>
          <w:sz w:val="24"/>
          <w:lang w:val="en-US"/>
        </w:rPr>
        <w:t>One true God: Historical consequences of monotheism</w:t>
      </w:r>
      <w:r w:rsidRPr="007B0ED8">
        <w:rPr>
          <w:rFonts w:ascii="Times New Roman" w:hAnsi="Times New Roman"/>
          <w:sz w:val="24"/>
          <w:lang w:val="en-US"/>
        </w:rPr>
        <w:t>, Oxford &amp; Princeton.</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spellStart"/>
      <w:r w:rsidRPr="007B0ED8">
        <w:rPr>
          <w:rFonts w:ascii="Times New Roman" w:hAnsi="Times New Roman"/>
          <w:sz w:val="24"/>
          <w:lang w:val="en-US"/>
        </w:rPr>
        <w:t>Taussig</w:t>
      </w:r>
      <w:proofErr w:type="spellEnd"/>
      <w:r w:rsidRPr="007B0ED8">
        <w:rPr>
          <w:rFonts w:ascii="Times New Roman" w:hAnsi="Times New Roman"/>
          <w:sz w:val="24"/>
          <w:lang w:val="en-US"/>
        </w:rPr>
        <w:t xml:space="preserve">, Hal. 2009. </w:t>
      </w:r>
      <w:proofErr w:type="gramStart"/>
      <w:r w:rsidRPr="007B0ED8">
        <w:rPr>
          <w:rFonts w:ascii="Times New Roman" w:hAnsi="Times New Roman"/>
          <w:i/>
          <w:sz w:val="24"/>
          <w:lang w:val="en-US"/>
        </w:rPr>
        <w:t>In</w:t>
      </w:r>
      <w:proofErr w:type="gramEnd"/>
      <w:r w:rsidRPr="007B0ED8">
        <w:rPr>
          <w:rFonts w:ascii="Times New Roman" w:hAnsi="Times New Roman"/>
          <w:i/>
          <w:sz w:val="24"/>
          <w:lang w:val="en-US"/>
        </w:rPr>
        <w:t xml:space="preserve"> the beginning was the meal: Social experimentation and early Christian identity</w:t>
      </w:r>
      <w:r w:rsidRPr="007B0ED8">
        <w:rPr>
          <w:rFonts w:ascii="Times New Roman" w:hAnsi="Times New Roman"/>
          <w:sz w:val="24"/>
          <w:lang w:val="en-US"/>
        </w:rPr>
        <w:t xml:space="preserve">, Minneapolis.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r w:rsidRPr="007B0ED8">
        <w:rPr>
          <w:rFonts w:ascii="Times New Roman" w:hAnsi="Times New Roman"/>
          <w:sz w:val="24"/>
          <w:lang w:val="en-US"/>
        </w:rPr>
        <w:t xml:space="preserve">Williams, Michael A. 1996. </w:t>
      </w:r>
      <w:proofErr w:type="gramStart"/>
      <w:r w:rsidRPr="007B0ED8">
        <w:rPr>
          <w:rFonts w:ascii="Times New Roman" w:hAnsi="Times New Roman"/>
          <w:i/>
          <w:sz w:val="24"/>
          <w:lang w:val="en-US"/>
        </w:rPr>
        <w:t>Rethinking “Gnosticism”: An argument for dismantling a dubious category</w:t>
      </w:r>
      <w:r w:rsidRPr="007B0ED8">
        <w:rPr>
          <w:rFonts w:ascii="Times New Roman" w:hAnsi="Times New Roman"/>
          <w:sz w:val="24"/>
          <w:lang w:val="en-US"/>
        </w:rPr>
        <w:t>, Princeton N.J.</w:t>
      </w:r>
      <w:proofErr w:type="gramEnd"/>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spellStart"/>
      <w:r w:rsidRPr="007B0ED8">
        <w:rPr>
          <w:rFonts w:ascii="Times New Roman" w:hAnsi="Times New Roman"/>
          <w:sz w:val="24"/>
          <w:lang w:val="en-US"/>
        </w:rPr>
        <w:t>Worp</w:t>
      </w:r>
      <w:proofErr w:type="spellEnd"/>
      <w:r w:rsidRPr="007B0ED8">
        <w:rPr>
          <w:rFonts w:ascii="Times New Roman" w:hAnsi="Times New Roman"/>
          <w:sz w:val="24"/>
          <w:lang w:val="en-US"/>
        </w:rPr>
        <w:t xml:space="preserve">, Klaus A. (red). 2004. </w:t>
      </w:r>
      <w:r w:rsidRPr="007B0ED8">
        <w:rPr>
          <w:rFonts w:ascii="Times New Roman" w:hAnsi="Times New Roman"/>
          <w:i/>
          <w:sz w:val="24"/>
          <w:lang w:val="en-US"/>
        </w:rPr>
        <w:t xml:space="preserve">Greek </w:t>
      </w:r>
      <w:proofErr w:type="spellStart"/>
      <w:r w:rsidRPr="007B0ED8">
        <w:rPr>
          <w:rFonts w:ascii="Times New Roman" w:hAnsi="Times New Roman"/>
          <w:i/>
          <w:sz w:val="24"/>
          <w:lang w:val="en-US"/>
        </w:rPr>
        <w:t>ostraka</w:t>
      </w:r>
      <w:proofErr w:type="spellEnd"/>
      <w:r w:rsidRPr="007B0ED8">
        <w:rPr>
          <w:rFonts w:ascii="Times New Roman" w:hAnsi="Times New Roman"/>
          <w:i/>
          <w:sz w:val="24"/>
          <w:lang w:val="en-US"/>
        </w:rPr>
        <w:t xml:space="preserve"> from </w:t>
      </w:r>
      <w:proofErr w:type="spellStart"/>
      <w:r w:rsidRPr="007B0ED8">
        <w:rPr>
          <w:rFonts w:ascii="Times New Roman" w:hAnsi="Times New Roman"/>
          <w:i/>
          <w:sz w:val="24"/>
          <w:lang w:val="en-US"/>
        </w:rPr>
        <w:t>Kellis</w:t>
      </w:r>
      <w:proofErr w:type="spellEnd"/>
      <w:r w:rsidRPr="007B0ED8">
        <w:rPr>
          <w:rFonts w:ascii="Times New Roman" w:hAnsi="Times New Roman"/>
          <w:sz w:val="24"/>
          <w:lang w:val="en-US"/>
        </w:rPr>
        <w:t>, Oxford.</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spellStart"/>
      <w:proofErr w:type="gramStart"/>
      <w:r w:rsidRPr="007B0ED8">
        <w:rPr>
          <w:rFonts w:ascii="Times New Roman" w:hAnsi="Times New Roman"/>
          <w:sz w:val="24"/>
          <w:lang w:val="en-US"/>
        </w:rPr>
        <w:t>Wurst</w:t>
      </w:r>
      <w:proofErr w:type="spellEnd"/>
      <w:r w:rsidRPr="007B0ED8">
        <w:rPr>
          <w:rFonts w:ascii="Times New Roman" w:hAnsi="Times New Roman"/>
          <w:sz w:val="24"/>
          <w:lang w:val="en-US"/>
        </w:rPr>
        <w:t xml:space="preserve">, </w:t>
      </w:r>
      <w:proofErr w:type="spellStart"/>
      <w:r w:rsidRPr="007B0ED8">
        <w:rPr>
          <w:rFonts w:ascii="Times New Roman" w:hAnsi="Times New Roman"/>
          <w:sz w:val="24"/>
          <w:lang w:val="en-US"/>
        </w:rPr>
        <w:t>Gregor</w:t>
      </w:r>
      <w:proofErr w:type="spellEnd"/>
      <w:r w:rsidRPr="007B0ED8">
        <w:rPr>
          <w:rFonts w:ascii="Times New Roman" w:hAnsi="Times New Roman"/>
          <w:sz w:val="24"/>
          <w:lang w:val="en-US"/>
        </w:rPr>
        <w:t xml:space="preserve"> (red).</w:t>
      </w:r>
      <w:proofErr w:type="gramEnd"/>
      <w:r w:rsidRPr="007B0ED8">
        <w:rPr>
          <w:rFonts w:ascii="Times New Roman" w:hAnsi="Times New Roman"/>
          <w:sz w:val="24"/>
          <w:lang w:val="en-US"/>
        </w:rPr>
        <w:t xml:space="preserve"> 1996a. </w:t>
      </w:r>
      <w:r w:rsidRPr="007B0ED8">
        <w:rPr>
          <w:rFonts w:ascii="Times New Roman" w:hAnsi="Times New Roman"/>
          <w:i/>
          <w:sz w:val="24"/>
          <w:lang w:val="en-US"/>
        </w:rPr>
        <w:t xml:space="preserve">Liber </w:t>
      </w:r>
      <w:proofErr w:type="spellStart"/>
      <w:r w:rsidRPr="007B0ED8">
        <w:rPr>
          <w:rFonts w:ascii="Times New Roman" w:hAnsi="Times New Roman"/>
          <w:i/>
          <w:sz w:val="24"/>
          <w:lang w:val="en-US"/>
        </w:rPr>
        <w:t>Psalmorum</w:t>
      </w:r>
      <w:proofErr w:type="spellEnd"/>
      <w:r w:rsidRPr="007B0ED8">
        <w:rPr>
          <w:rFonts w:ascii="Times New Roman" w:hAnsi="Times New Roman"/>
          <w:i/>
          <w:sz w:val="24"/>
          <w:lang w:val="en-US"/>
        </w:rPr>
        <w:t xml:space="preserve"> = Psalm book</w:t>
      </w:r>
      <w:r w:rsidRPr="007B0ED8">
        <w:rPr>
          <w:rFonts w:ascii="Times New Roman" w:hAnsi="Times New Roman"/>
          <w:sz w:val="24"/>
          <w:lang w:val="en-US"/>
        </w:rPr>
        <w:t xml:space="preserve">, </w:t>
      </w:r>
      <w:proofErr w:type="spellStart"/>
      <w:r w:rsidRPr="007B0ED8">
        <w:rPr>
          <w:rFonts w:ascii="Times New Roman" w:hAnsi="Times New Roman"/>
          <w:sz w:val="24"/>
          <w:lang w:val="en-US"/>
        </w:rPr>
        <w:t>Turnhout</w:t>
      </w:r>
      <w:proofErr w:type="spellEnd"/>
      <w:r w:rsidRPr="007B0ED8">
        <w:rPr>
          <w:rFonts w:ascii="Times New Roman" w:hAnsi="Times New Roman"/>
          <w:sz w:val="24"/>
          <w:lang w:val="en-US"/>
        </w:rPr>
        <w:t>.</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spellStart"/>
      <w:proofErr w:type="gramStart"/>
      <w:r w:rsidRPr="007B0ED8">
        <w:rPr>
          <w:rFonts w:ascii="Times New Roman" w:hAnsi="Times New Roman"/>
          <w:sz w:val="24"/>
          <w:lang w:val="en-US"/>
        </w:rPr>
        <w:t>Wurst</w:t>
      </w:r>
      <w:proofErr w:type="spellEnd"/>
      <w:r w:rsidRPr="007B0ED8">
        <w:rPr>
          <w:rFonts w:ascii="Times New Roman" w:hAnsi="Times New Roman"/>
          <w:sz w:val="24"/>
          <w:lang w:val="en-US"/>
        </w:rPr>
        <w:t xml:space="preserve">, </w:t>
      </w:r>
      <w:proofErr w:type="spellStart"/>
      <w:r w:rsidRPr="007B0ED8">
        <w:rPr>
          <w:rFonts w:ascii="Times New Roman" w:hAnsi="Times New Roman"/>
          <w:sz w:val="24"/>
          <w:lang w:val="en-US"/>
        </w:rPr>
        <w:t>Gregor</w:t>
      </w:r>
      <w:proofErr w:type="spellEnd"/>
      <w:r w:rsidRPr="007B0ED8">
        <w:rPr>
          <w:rFonts w:ascii="Times New Roman" w:hAnsi="Times New Roman"/>
          <w:sz w:val="24"/>
          <w:lang w:val="en-US"/>
        </w:rPr>
        <w:t xml:space="preserve"> (red).</w:t>
      </w:r>
      <w:proofErr w:type="gramEnd"/>
      <w:r w:rsidRPr="007B0ED8">
        <w:rPr>
          <w:rFonts w:ascii="Times New Roman" w:hAnsi="Times New Roman"/>
          <w:sz w:val="24"/>
          <w:lang w:val="en-US"/>
        </w:rPr>
        <w:t xml:space="preserve"> 1996b) </w:t>
      </w:r>
      <w:r w:rsidRPr="007B0ED8">
        <w:rPr>
          <w:rFonts w:ascii="Times New Roman" w:hAnsi="Times New Roman"/>
          <w:i/>
          <w:sz w:val="24"/>
          <w:lang w:val="en-US"/>
        </w:rPr>
        <w:t xml:space="preserve">Liber </w:t>
      </w:r>
      <w:proofErr w:type="spellStart"/>
      <w:r w:rsidRPr="007B0ED8">
        <w:rPr>
          <w:rFonts w:ascii="Times New Roman" w:hAnsi="Times New Roman"/>
          <w:i/>
          <w:sz w:val="24"/>
          <w:lang w:val="en-US"/>
        </w:rPr>
        <w:t>psalmorum</w:t>
      </w:r>
      <w:proofErr w:type="spellEnd"/>
      <w:r w:rsidRPr="007B0ED8">
        <w:rPr>
          <w:rFonts w:ascii="Times New Roman" w:hAnsi="Times New Roman"/>
          <w:i/>
          <w:sz w:val="24"/>
          <w:lang w:val="en-US"/>
        </w:rPr>
        <w:t xml:space="preserve"> = psalm book: p 2. </w:t>
      </w:r>
      <w:proofErr w:type="gramStart"/>
      <w:r w:rsidRPr="007B0ED8">
        <w:rPr>
          <w:rFonts w:ascii="Times New Roman" w:hAnsi="Times New Roman"/>
          <w:i/>
          <w:sz w:val="24"/>
          <w:lang w:val="en-US"/>
        </w:rPr>
        <w:t>fasc. 1, Die Bema-</w:t>
      </w:r>
      <w:proofErr w:type="spellStart"/>
      <w:r w:rsidRPr="007B0ED8">
        <w:rPr>
          <w:rFonts w:ascii="Times New Roman" w:hAnsi="Times New Roman"/>
          <w:i/>
          <w:sz w:val="24"/>
          <w:lang w:val="en-US"/>
        </w:rPr>
        <w:t>Psalmen</w:t>
      </w:r>
      <w:proofErr w:type="spellEnd"/>
      <w:r w:rsidRPr="007B0ED8">
        <w:rPr>
          <w:rFonts w:ascii="Times New Roman" w:hAnsi="Times New Roman"/>
          <w:sz w:val="24"/>
          <w:lang w:val="en-US"/>
        </w:rPr>
        <w:t xml:space="preserve">, </w:t>
      </w:r>
      <w:proofErr w:type="spellStart"/>
      <w:r w:rsidRPr="007B0ED8">
        <w:rPr>
          <w:rFonts w:ascii="Times New Roman" w:hAnsi="Times New Roman"/>
          <w:sz w:val="24"/>
          <w:lang w:val="en-US"/>
        </w:rPr>
        <w:t>turnhout</w:t>
      </w:r>
      <w:proofErr w:type="spellEnd"/>
      <w:r w:rsidRPr="007B0ED8">
        <w:rPr>
          <w:rFonts w:ascii="Times New Roman" w:hAnsi="Times New Roman"/>
          <w:sz w:val="24"/>
          <w:lang w:val="en-US"/>
        </w:rPr>
        <w:t>.</w:t>
      </w:r>
      <w:proofErr w:type="gramEnd"/>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pStyle w:val="Rubrik3"/>
        <w:rPr>
          <w:rFonts w:ascii="Times New Roman" w:hAnsi="Times New Roman"/>
          <w:sz w:val="24"/>
          <w:lang w:val="en-US"/>
        </w:rPr>
      </w:pPr>
      <w:proofErr w:type="spellStart"/>
      <w:r w:rsidRPr="007B0ED8">
        <w:rPr>
          <w:rFonts w:ascii="Times New Roman" w:hAnsi="Times New Roman"/>
          <w:sz w:val="24"/>
          <w:lang w:val="en-US"/>
        </w:rPr>
        <w:t>Internetresurser</w:t>
      </w:r>
      <w:proofErr w:type="spellEnd"/>
    </w:p>
    <w:p w:rsidR="00E5707F" w:rsidRPr="007B0ED8" w:rsidRDefault="00E5707F" w:rsidP="00E5707F">
      <w:pPr>
        <w:autoSpaceDE w:val="0"/>
        <w:autoSpaceDN w:val="0"/>
        <w:adjustRightInd w:val="0"/>
        <w:spacing w:after="0" w:line="240" w:lineRule="auto"/>
        <w:rPr>
          <w:rFonts w:ascii="Times New Roman" w:hAnsi="Times New Roman"/>
          <w:i/>
          <w:sz w:val="24"/>
          <w:lang w:val="en-US"/>
        </w:rPr>
      </w:pPr>
      <w:r w:rsidRPr="007B0ED8">
        <w:rPr>
          <w:rFonts w:ascii="Times New Roman" w:hAnsi="Times New Roman"/>
          <w:i/>
          <w:sz w:val="24"/>
          <w:lang w:val="en-US"/>
        </w:rPr>
        <w:t xml:space="preserve">Publications related to the excavations at </w:t>
      </w:r>
      <w:proofErr w:type="spellStart"/>
      <w:r w:rsidRPr="007B0ED8">
        <w:rPr>
          <w:rFonts w:ascii="Times New Roman" w:hAnsi="Times New Roman"/>
          <w:i/>
          <w:sz w:val="24"/>
          <w:lang w:val="en-US"/>
        </w:rPr>
        <w:t>Kellis</w:t>
      </w:r>
      <w:proofErr w:type="spellEnd"/>
      <w:r w:rsidRPr="007B0ED8">
        <w:rPr>
          <w:rFonts w:ascii="Times New Roman" w:hAnsi="Times New Roman"/>
          <w:i/>
          <w:sz w:val="24"/>
          <w:lang w:val="en-US"/>
        </w:rPr>
        <w:t xml:space="preserve"> </w:t>
      </w:r>
      <w:hyperlink r:id="rId8" w:history="1">
        <w:r w:rsidRPr="007B0ED8">
          <w:rPr>
            <w:rStyle w:val="Hyperlnk"/>
            <w:rFonts w:ascii="Times New Roman" w:hAnsi="Times New Roman"/>
            <w:sz w:val="24"/>
            <w:lang w:val="en-US"/>
          </w:rPr>
          <w:t>http://artsonline.monash.edu.au/archaeology/publications-related-to-the-excavations-at-kellis/</w:t>
        </w:r>
      </w:hyperlink>
      <w:r w:rsidRPr="007B0ED8">
        <w:rPr>
          <w:rFonts w:ascii="Times New Roman" w:hAnsi="Times New Roman"/>
          <w:sz w:val="24"/>
          <w:lang w:val="en-US"/>
        </w:rPr>
        <w:t xml:space="preserve">.    </w:t>
      </w:r>
    </w:p>
    <w:p w:rsidR="00E5707F" w:rsidRPr="007B0ED8" w:rsidRDefault="00E5707F" w:rsidP="00E5707F">
      <w:pPr>
        <w:autoSpaceDE w:val="0"/>
        <w:autoSpaceDN w:val="0"/>
        <w:adjustRightInd w:val="0"/>
        <w:spacing w:after="0" w:line="240" w:lineRule="auto"/>
        <w:rPr>
          <w:rFonts w:ascii="Times New Roman" w:hAnsi="Times New Roman"/>
          <w:i/>
          <w:sz w:val="24"/>
          <w:lang w:val="en-US"/>
        </w:rPr>
      </w:pPr>
    </w:p>
    <w:p w:rsidR="00E5707F" w:rsidRPr="007B0ED8" w:rsidRDefault="00E5707F" w:rsidP="00E5707F">
      <w:pPr>
        <w:autoSpaceDE w:val="0"/>
        <w:autoSpaceDN w:val="0"/>
        <w:adjustRightInd w:val="0"/>
        <w:spacing w:after="0" w:line="240" w:lineRule="auto"/>
        <w:rPr>
          <w:rFonts w:ascii="Times New Roman" w:hAnsi="Times New Roman"/>
          <w:sz w:val="24"/>
          <w:lang w:val="en-US"/>
        </w:rPr>
      </w:pPr>
      <w:r w:rsidRPr="007B0ED8">
        <w:rPr>
          <w:rFonts w:ascii="Times New Roman" w:hAnsi="Times New Roman"/>
          <w:sz w:val="24"/>
          <w:lang w:val="en-US"/>
        </w:rPr>
        <w:t xml:space="preserve">The </w:t>
      </w:r>
      <w:proofErr w:type="spellStart"/>
      <w:r w:rsidRPr="007B0ED8">
        <w:rPr>
          <w:rFonts w:ascii="Times New Roman" w:hAnsi="Times New Roman"/>
          <w:sz w:val="24"/>
          <w:lang w:val="en-US"/>
        </w:rPr>
        <w:t>Melammu</w:t>
      </w:r>
      <w:proofErr w:type="spellEnd"/>
      <w:r w:rsidRPr="007B0ED8">
        <w:rPr>
          <w:rFonts w:ascii="Times New Roman" w:hAnsi="Times New Roman"/>
          <w:sz w:val="24"/>
          <w:lang w:val="en-US"/>
        </w:rPr>
        <w:t xml:space="preserve"> project http://www.aakkl.helsinki.fi/melammu/home/home.php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E5707F">
      <w:pPr>
        <w:pStyle w:val="Rubrik3"/>
        <w:rPr>
          <w:rFonts w:ascii="Times New Roman" w:hAnsi="Times New Roman"/>
          <w:sz w:val="24"/>
        </w:rPr>
      </w:pPr>
      <w:r w:rsidRPr="007B0ED8">
        <w:rPr>
          <w:rFonts w:ascii="Times New Roman" w:hAnsi="Times New Roman"/>
          <w:sz w:val="24"/>
        </w:rPr>
        <w:t>Förkortningar och primärtexter</w:t>
      </w:r>
    </w:p>
    <w:p w:rsidR="00E5707F" w:rsidRPr="007B0ED8" w:rsidRDefault="00E5707F" w:rsidP="00E5707F">
      <w:pPr>
        <w:autoSpaceDE w:val="0"/>
        <w:autoSpaceDN w:val="0"/>
        <w:adjustRightInd w:val="0"/>
        <w:spacing w:after="0" w:line="240" w:lineRule="auto"/>
        <w:rPr>
          <w:rFonts w:ascii="Times New Roman" w:hAnsi="Times New Roman"/>
          <w:sz w:val="24"/>
        </w:rPr>
      </w:pPr>
      <w:r w:rsidRPr="007B0ED8">
        <w:rPr>
          <w:rFonts w:ascii="Times New Roman" w:hAnsi="Times New Roman"/>
          <w:sz w:val="24"/>
        </w:rPr>
        <w:t xml:space="preserve">Acta </w:t>
      </w:r>
      <w:proofErr w:type="spellStart"/>
      <w:r w:rsidRPr="007B0ED8">
        <w:rPr>
          <w:rFonts w:ascii="Times New Roman" w:hAnsi="Times New Roman"/>
          <w:sz w:val="24"/>
        </w:rPr>
        <w:t>Archelai</w:t>
      </w:r>
      <w:proofErr w:type="spellEnd"/>
      <w:r w:rsidRPr="007B0ED8">
        <w:rPr>
          <w:rFonts w:ascii="Times New Roman" w:hAnsi="Times New Roman"/>
          <w:sz w:val="24"/>
        </w:rPr>
        <w:t xml:space="preserve"> se </w:t>
      </w:r>
      <w:proofErr w:type="spellStart"/>
      <w:r w:rsidRPr="007B0ED8">
        <w:rPr>
          <w:rFonts w:ascii="Times New Roman" w:hAnsi="Times New Roman"/>
          <w:sz w:val="24"/>
        </w:rPr>
        <w:t>Hegemonius</w:t>
      </w:r>
      <w:proofErr w:type="spellEnd"/>
      <w:r w:rsidRPr="007B0ED8">
        <w:rPr>
          <w:rFonts w:ascii="Times New Roman" w:hAnsi="Times New Roman"/>
          <w:sz w:val="24"/>
        </w:rPr>
        <w:t xml:space="preserve"> 1906. </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r w:rsidRPr="007B0ED8">
        <w:rPr>
          <w:rFonts w:ascii="Times New Roman" w:hAnsi="Times New Roman"/>
          <w:sz w:val="24"/>
          <w:lang w:val="en-US"/>
        </w:rPr>
        <w:t xml:space="preserve">CMC = Codex </w:t>
      </w:r>
      <w:proofErr w:type="spellStart"/>
      <w:r w:rsidRPr="007B0ED8">
        <w:rPr>
          <w:rFonts w:ascii="Times New Roman" w:hAnsi="Times New Roman"/>
          <w:sz w:val="24"/>
          <w:lang w:val="en-US"/>
        </w:rPr>
        <w:t>Manichaicus</w:t>
      </w:r>
      <w:proofErr w:type="spellEnd"/>
      <w:r w:rsidRPr="007B0ED8">
        <w:rPr>
          <w:rFonts w:ascii="Times New Roman" w:hAnsi="Times New Roman"/>
          <w:sz w:val="24"/>
          <w:lang w:val="en-US"/>
        </w:rPr>
        <w:t xml:space="preserve"> </w:t>
      </w:r>
      <w:proofErr w:type="spellStart"/>
      <w:r w:rsidRPr="007B0ED8">
        <w:rPr>
          <w:rFonts w:ascii="Times New Roman" w:hAnsi="Times New Roman"/>
          <w:sz w:val="24"/>
          <w:lang w:val="en-US"/>
        </w:rPr>
        <w:t>Coloniensis</w:t>
      </w:r>
      <w:proofErr w:type="spellEnd"/>
      <w:r w:rsidRPr="007B0ED8">
        <w:rPr>
          <w:rFonts w:ascii="Times New Roman" w:hAnsi="Times New Roman"/>
          <w:sz w:val="24"/>
          <w:lang w:val="en-US"/>
        </w:rPr>
        <w:t xml:space="preserve">, se </w:t>
      </w:r>
      <w:proofErr w:type="spellStart"/>
      <w:r w:rsidRPr="007B0ED8">
        <w:rPr>
          <w:rFonts w:ascii="Times New Roman" w:hAnsi="Times New Roman"/>
          <w:sz w:val="24"/>
          <w:lang w:val="en-US"/>
        </w:rPr>
        <w:t>Koenen</w:t>
      </w:r>
      <w:proofErr w:type="spellEnd"/>
      <w:r w:rsidRPr="007B0ED8">
        <w:rPr>
          <w:rFonts w:ascii="Times New Roman" w:hAnsi="Times New Roman"/>
          <w:sz w:val="24"/>
          <w:lang w:val="en-US"/>
        </w:rPr>
        <w:t xml:space="preserve"> &amp; </w:t>
      </w:r>
      <w:proofErr w:type="spellStart"/>
      <w:r w:rsidRPr="007B0ED8">
        <w:rPr>
          <w:rFonts w:ascii="Times New Roman" w:hAnsi="Times New Roman"/>
          <w:sz w:val="24"/>
          <w:lang w:val="en-US"/>
        </w:rPr>
        <w:t>Römer</w:t>
      </w:r>
      <w:proofErr w:type="spellEnd"/>
      <w:r w:rsidRPr="007B0ED8">
        <w:rPr>
          <w:rFonts w:ascii="Times New Roman" w:hAnsi="Times New Roman"/>
          <w:sz w:val="24"/>
          <w:lang w:val="en-US"/>
        </w:rPr>
        <w:t xml:space="preserve"> 1988.</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gramStart"/>
      <w:r w:rsidRPr="007B0ED8">
        <w:rPr>
          <w:rFonts w:ascii="Times New Roman" w:hAnsi="Times New Roman"/>
          <w:sz w:val="24"/>
          <w:lang w:val="en-US"/>
        </w:rPr>
        <w:t>KAB.</w:t>
      </w:r>
      <w:proofErr w:type="gramEnd"/>
      <w:r w:rsidRPr="007B0ED8">
        <w:rPr>
          <w:rFonts w:ascii="Times New Roman" w:hAnsi="Times New Roman"/>
          <w:sz w:val="24"/>
          <w:lang w:val="en-US"/>
        </w:rPr>
        <w:t xml:space="preserve"> The </w:t>
      </w:r>
      <w:proofErr w:type="spellStart"/>
      <w:r w:rsidRPr="007B0ED8">
        <w:rPr>
          <w:rFonts w:ascii="Times New Roman" w:hAnsi="Times New Roman"/>
          <w:sz w:val="24"/>
          <w:lang w:val="en-US"/>
        </w:rPr>
        <w:t>Kellis</w:t>
      </w:r>
      <w:proofErr w:type="spellEnd"/>
      <w:r w:rsidRPr="007B0ED8">
        <w:rPr>
          <w:rFonts w:ascii="Times New Roman" w:hAnsi="Times New Roman"/>
          <w:sz w:val="24"/>
          <w:lang w:val="en-US"/>
        </w:rPr>
        <w:t xml:space="preserve"> agricultural account book, se </w:t>
      </w:r>
      <w:proofErr w:type="spellStart"/>
      <w:r w:rsidRPr="007B0ED8">
        <w:rPr>
          <w:rFonts w:ascii="Times New Roman" w:hAnsi="Times New Roman"/>
          <w:sz w:val="24"/>
          <w:lang w:val="en-US"/>
        </w:rPr>
        <w:t>Bagnall</w:t>
      </w:r>
      <w:proofErr w:type="spellEnd"/>
      <w:r w:rsidRPr="007B0ED8">
        <w:rPr>
          <w:rFonts w:ascii="Times New Roman" w:hAnsi="Times New Roman"/>
          <w:sz w:val="24"/>
          <w:lang w:val="en-US"/>
        </w:rPr>
        <w:t xml:space="preserve"> 1997. </w:t>
      </w:r>
    </w:p>
    <w:p w:rsidR="00E5707F" w:rsidRPr="007B0ED8" w:rsidRDefault="00E5707F" w:rsidP="00E5707F">
      <w:pPr>
        <w:autoSpaceDE w:val="0"/>
        <w:autoSpaceDN w:val="0"/>
        <w:adjustRightInd w:val="0"/>
        <w:spacing w:after="0" w:line="240" w:lineRule="auto"/>
        <w:rPr>
          <w:rFonts w:ascii="Times New Roman" w:hAnsi="Times New Roman"/>
          <w:sz w:val="24"/>
        </w:rPr>
      </w:pPr>
      <w:proofErr w:type="spellStart"/>
      <w:r w:rsidRPr="007B0ED8">
        <w:rPr>
          <w:rFonts w:ascii="Times New Roman" w:hAnsi="Times New Roman"/>
          <w:sz w:val="24"/>
        </w:rPr>
        <w:t>Keph</w:t>
      </w:r>
      <w:proofErr w:type="spellEnd"/>
      <w:r w:rsidRPr="007B0ED8">
        <w:rPr>
          <w:rFonts w:ascii="Times New Roman" w:hAnsi="Times New Roman"/>
          <w:sz w:val="24"/>
        </w:rPr>
        <w:t xml:space="preserve">. = </w:t>
      </w:r>
      <w:proofErr w:type="spellStart"/>
      <w:r w:rsidRPr="007B0ED8">
        <w:rPr>
          <w:rFonts w:ascii="Times New Roman" w:hAnsi="Times New Roman"/>
          <w:sz w:val="24"/>
        </w:rPr>
        <w:t>Kephalaia</w:t>
      </w:r>
      <w:proofErr w:type="spellEnd"/>
      <w:r w:rsidRPr="007B0ED8">
        <w:rPr>
          <w:rFonts w:ascii="Times New Roman" w:hAnsi="Times New Roman"/>
          <w:sz w:val="24"/>
        </w:rPr>
        <w:t xml:space="preserve">, se Gardner 1995 och Gardner &amp; </w:t>
      </w:r>
      <w:proofErr w:type="spellStart"/>
      <w:r w:rsidRPr="007B0ED8">
        <w:rPr>
          <w:rFonts w:ascii="Times New Roman" w:hAnsi="Times New Roman"/>
          <w:sz w:val="24"/>
        </w:rPr>
        <w:t>Lieu</w:t>
      </w:r>
      <w:proofErr w:type="spellEnd"/>
      <w:r w:rsidRPr="007B0ED8">
        <w:rPr>
          <w:rFonts w:ascii="Times New Roman" w:hAnsi="Times New Roman"/>
          <w:sz w:val="24"/>
        </w:rPr>
        <w:t xml:space="preserve"> 2004.</w:t>
      </w:r>
    </w:p>
    <w:p w:rsidR="00E5707F" w:rsidRPr="007B0ED8" w:rsidRDefault="00E5707F" w:rsidP="00E5707F">
      <w:pPr>
        <w:autoSpaceDE w:val="0"/>
        <w:autoSpaceDN w:val="0"/>
        <w:adjustRightInd w:val="0"/>
        <w:spacing w:after="0" w:line="240" w:lineRule="auto"/>
        <w:rPr>
          <w:rFonts w:ascii="Times New Roman" w:hAnsi="Times New Roman"/>
          <w:sz w:val="24"/>
          <w:lang w:val="en-US"/>
        </w:rPr>
      </w:pPr>
      <w:proofErr w:type="spellStart"/>
      <w:proofErr w:type="gramStart"/>
      <w:r w:rsidRPr="007B0ED8">
        <w:rPr>
          <w:rFonts w:ascii="Times New Roman" w:hAnsi="Times New Roman"/>
          <w:sz w:val="24"/>
          <w:lang w:val="en-US"/>
        </w:rPr>
        <w:t>Kell</w:t>
      </w:r>
      <w:proofErr w:type="spellEnd"/>
      <w:r w:rsidRPr="007B0ED8">
        <w:rPr>
          <w:rFonts w:ascii="Times New Roman" w:hAnsi="Times New Roman"/>
          <w:sz w:val="24"/>
          <w:lang w:val="en-US"/>
        </w:rPr>
        <w:t>.</w:t>
      </w:r>
      <w:proofErr w:type="gramEnd"/>
      <w:r w:rsidRPr="007B0ED8">
        <w:rPr>
          <w:rFonts w:ascii="Times New Roman" w:hAnsi="Times New Roman"/>
          <w:sz w:val="24"/>
          <w:lang w:val="en-US"/>
        </w:rPr>
        <w:t xml:space="preserve"> </w:t>
      </w:r>
      <w:proofErr w:type="gramStart"/>
      <w:r w:rsidRPr="007B0ED8">
        <w:rPr>
          <w:rFonts w:ascii="Times New Roman" w:hAnsi="Times New Roman"/>
          <w:sz w:val="24"/>
          <w:lang w:val="en-US"/>
        </w:rPr>
        <w:t xml:space="preserve">Copt. Coptic documentary texts from </w:t>
      </w:r>
      <w:proofErr w:type="spellStart"/>
      <w:r w:rsidRPr="007B0ED8">
        <w:rPr>
          <w:rFonts w:ascii="Times New Roman" w:hAnsi="Times New Roman"/>
          <w:sz w:val="24"/>
          <w:lang w:val="en-US"/>
        </w:rPr>
        <w:t>Kellis</w:t>
      </w:r>
      <w:proofErr w:type="spellEnd"/>
      <w:r w:rsidRPr="007B0ED8">
        <w:rPr>
          <w:rFonts w:ascii="Times New Roman" w:hAnsi="Times New Roman"/>
          <w:sz w:val="24"/>
          <w:lang w:val="en-US"/>
        </w:rPr>
        <w:t>, se Gardner 1999.</w:t>
      </w:r>
      <w:proofErr w:type="gramEnd"/>
    </w:p>
    <w:p w:rsidR="00E5707F" w:rsidRPr="007B0ED8" w:rsidRDefault="00E5707F" w:rsidP="00E5707F">
      <w:pPr>
        <w:autoSpaceDE w:val="0"/>
        <w:autoSpaceDN w:val="0"/>
        <w:adjustRightInd w:val="0"/>
        <w:spacing w:after="0" w:line="240" w:lineRule="auto"/>
        <w:rPr>
          <w:rFonts w:ascii="Times New Roman" w:hAnsi="Times New Roman"/>
          <w:sz w:val="24"/>
          <w:lang w:val="en-US"/>
        </w:rPr>
      </w:pPr>
    </w:p>
    <w:p w:rsidR="00E5707F" w:rsidRPr="007B0ED8" w:rsidRDefault="00E5707F" w:rsidP="007D1444">
      <w:pPr>
        <w:autoSpaceDE w:val="0"/>
        <w:autoSpaceDN w:val="0"/>
        <w:adjustRightInd w:val="0"/>
        <w:spacing w:after="0" w:line="240" w:lineRule="auto"/>
        <w:rPr>
          <w:rFonts w:ascii="Times New Roman" w:hAnsi="Times New Roman" w:cs="Courier New"/>
          <w:sz w:val="24"/>
          <w:lang w:val="en-US"/>
        </w:rPr>
      </w:pPr>
    </w:p>
    <w:sectPr w:rsidR="00E5707F" w:rsidRPr="007B0ED8" w:rsidSect="000249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B9" w:rsidRDefault="002D67B9" w:rsidP="0034468E">
      <w:pPr>
        <w:spacing w:after="0" w:line="240" w:lineRule="auto"/>
      </w:pPr>
      <w:r>
        <w:separator/>
      </w:r>
    </w:p>
  </w:endnote>
  <w:endnote w:type="continuationSeparator" w:id="0">
    <w:p w:rsidR="002D67B9" w:rsidRDefault="002D67B9" w:rsidP="0034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B9" w:rsidRDefault="002D67B9" w:rsidP="0034468E">
      <w:pPr>
        <w:spacing w:after="0" w:line="240" w:lineRule="auto"/>
      </w:pPr>
      <w:r>
        <w:separator/>
      </w:r>
    </w:p>
  </w:footnote>
  <w:footnote w:type="continuationSeparator" w:id="0">
    <w:p w:rsidR="002D67B9" w:rsidRDefault="002D67B9" w:rsidP="0034468E">
      <w:pPr>
        <w:spacing w:after="0" w:line="240" w:lineRule="auto"/>
      </w:pPr>
      <w:r>
        <w:continuationSeparator/>
      </w:r>
    </w:p>
  </w:footnote>
  <w:footnote w:id="1">
    <w:p w:rsidR="00CC204E" w:rsidRPr="00CC204E" w:rsidRDefault="00CC204E">
      <w:pPr>
        <w:pStyle w:val="Fotnotstext"/>
      </w:pPr>
      <w:r>
        <w:rPr>
          <w:rStyle w:val="Fotnotsreferens"/>
        </w:rPr>
        <w:footnoteRef/>
      </w:r>
      <w:r>
        <w:t xml:space="preserve"> </w:t>
      </w:r>
      <w:proofErr w:type="spellStart"/>
      <w:r>
        <w:t>Paden</w:t>
      </w:r>
      <w:proofErr w:type="spellEnd"/>
      <w:r>
        <w:t xml:space="preserve"> 2008.</w:t>
      </w:r>
    </w:p>
  </w:footnote>
  <w:footnote w:id="2">
    <w:p w:rsidR="00505739" w:rsidRPr="00505739" w:rsidRDefault="00505739">
      <w:pPr>
        <w:pStyle w:val="Fotnotstext"/>
      </w:pPr>
      <w:r>
        <w:rPr>
          <w:rStyle w:val="Fotnotsreferens"/>
        </w:rPr>
        <w:footnoteRef/>
      </w:r>
      <w:r>
        <w:t xml:space="preserve"> Se Gardner &amp; </w:t>
      </w:r>
      <w:proofErr w:type="spellStart"/>
      <w:r>
        <w:t>Lieu</w:t>
      </w:r>
      <w:proofErr w:type="spellEnd"/>
      <w:r>
        <w:t xml:space="preserve"> 2004. </w:t>
      </w:r>
    </w:p>
  </w:footnote>
  <w:footnote w:id="3">
    <w:p w:rsidR="0034468E" w:rsidRPr="0034468E" w:rsidRDefault="0034468E">
      <w:pPr>
        <w:pStyle w:val="Fotnotstext"/>
      </w:pPr>
      <w:r>
        <w:rPr>
          <w:rStyle w:val="Fotnotsreferens"/>
        </w:rPr>
        <w:footnoteRef/>
      </w:r>
      <w:r>
        <w:t xml:space="preserve"> </w:t>
      </w:r>
      <w:proofErr w:type="spellStart"/>
      <w:r>
        <w:t>Klimkeit</w:t>
      </w:r>
      <w:proofErr w:type="spellEnd"/>
      <w:r>
        <w:t xml:space="preserve"> 1993</w:t>
      </w:r>
      <w:r w:rsidR="00204D76">
        <w:t xml:space="preserve"> och </w:t>
      </w:r>
      <w:proofErr w:type="spellStart"/>
      <w:r w:rsidR="00204D76">
        <w:t>Lieu</w:t>
      </w:r>
      <w:proofErr w:type="spellEnd"/>
      <w:r w:rsidR="00204D76">
        <w:t xml:space="preserve"> 1998</w:t>
      </w:r>
      <w:r>
        <w:t>.</w:t>
      </w:r>
      <w:r w:rsidR="00204D76">
        <w:t xml:space="preserve"> Mer om turfansamlingen finns at läsa via </w:t>
      </w:r>
      <w:r w:rsidR="00204D76" w:rsidRPr="00204D76">
        <w:t>http://staatsbibliothek-berlin.de/die-staatsbibliothek/abteilungen/orient/aufgaben-profil/veroeffentlichungen/berlin-turfan-collection/</w:t>
      </w:r>
      <w:r w:rsidR="00204D76">
        <w:t>.</w:t>
      </w:r>
      <w:r>
        <w:t xml:space="preserve"> </w:t>
      </w:r>
      <w:r>
        <w:tab/>
      </w:r>
      <w:r>
        <w:tab/>
      </w:r>
    </w:p>
  </w:footnote>
  <w:footnote w:id="4">
    <w:p w:rsidR="00E33901" w:rsidRPr="00E33901" w:rsidRDefault="00E33901">
      <w:pPr>
        <w:pStyle w:val="Fotnotstext"/>
      </w:pPr>
      <w:r>
        <w:rPr>
          <w:rStyle w:val="Fotnotsreferens"/>
        </w:rPr>
        <w:footnoteRef/>
      </w:r>
      <w:r>
        <w:t xml:space="preserve"> Se </w:t>
      </w:r>
      <w:proofErr w:type="spellStart"/>
      <w:r>
        <w:t>Lieu</w:t>
      </w:r>
      <w:proofErr w:type="spellEnd"/>
      <w:r>
        <w:t xml:space="preserve"> 1998. </w:t>
      </w:r>
    </w:p>
  </w:footnote>
  <w:footnote w:id="5">
    <w:p w:rsidR="001455FB" w:rsidRPr="001455FB" w:rsidRDefault="001455FB">
      <w:pPr>
        <w:pStyle w:val="Fotnotstext"/>
      </w:pPr>
      <w:r>
        <w:rPr>
          <w:rStyle w:val="Fotnotsreferens"/>
        </w:rPr>
        <w:footnoteRef/>
      </w:r>
      <w:r>
        <w:t xml:space="preserve"> Se </w:t>
      </w:r>
      <w:proofErr w:type="spellStart"/>
      <w:r>
        <w:t>Wurst</w:t>
      </w:r>
      <w:proofErr w:type="spellEnd"/>
      <w:r>
        <w:t xml:space="preserve"> 1996a och </w:t>
      </w:r>
      <w:proofErr w:type="spellStart"/>
      <w:r>
        <w:t>Wurst</w:t>
      </w:r>
      <w:proofErr w:type="spellEnd"/>
      <w:r>
        <w:t xml:space="preserve"> 1996b.</w:t>
      </w:r>
    </w:p>
  </w:footnote>
  <w:footnote w:id="6">
    <w:p w:rsidR="00560352" w:rsidRPr="00560352" w:rsidRDefault="00560352">
      <w:pPr>
        <w:pStyle w:val="Fotnotstext"/>
      </w:pPr>
      <w:r>
        <w:rPr>
          <w:rStyle w:val="Fotnotsreferens"/>
        </w:rPr>
        <w:footnoteRef/>
      </w:r>
      <w:r>
        <w:t xml:space="preserve"> Se särskilt Gardner 1995 men även Gardner &amp; </w:t>
      </w:r>
      <w:proofErr w:type="spellStart"/>
      <w:r>
        <w:t>Lieu</w:t>
      </w:r>
      <w:proofErr w:type="spellEnd"/>
      <w:r>
        <w:t xml:space="preserve"> 2004.</w:t>
      </w:r>
    </w:p>
  </w:footnote>
  <w:footnote w:id="7">
    <w:p w:rsidR="004B3CD0" w:rsidRPr="004B3CD0" w:rsidRDefault="004B3CD0">
      <w:pPr>
        <w:pStyle w:val="Fotnotstext"/>
      </w:pPr>
      <w:r>
        <w:rPr>
          <w:rStyle w:val="Fotnotsreferens"/>
        </w:rPr>
        <w:footnoteRef/>
      </w:r>
      <w:r>
        <w:t xml:space="preserve"> Se Pedersen 2006.</w:t>
      </w:r>
    </w:p>
  </w:footnote>
  <w:footnote w:id="8">
    <w:p w:rsidR="00CD7AA8" w:rsidRPr="00CD7AA8" w:rsidRDefault="00CD7AA8">
      <w:pPr>
        <w:pStyle w:val="Fotnotstext"/>
      </w:pPr>
      <w:r>
        <w:rPr>
          <w:rStyle w:val="Fotnotsreferens"/>
        </w:rPr>
        <w:footnoteRef/>
      </w:r>
      <w:r>
        <w:t xml:space="preserve"> Se </w:t>
      </w:r>
      <w:proofErr w:type="spellStart"/>
      <w:r>
        <w:t>Koenen</w:t>
      </w:r>
      <w:proofErr w:type="spellEnd"/>
      <w:r>
        <w:t xml:space="preserve"> &amp; </w:t>
      </w:r>
      <w:proofErr w:type="spellStart"/>
      <w:r>
        <w:t>Römer</w:t>
      </w:r>
      <w:proofErr w:type="spellEnd"/>
      <w:r>
        <w:t xml:space="preserve"> 1988.</w:t>
      </w:r>
    </w:p>
  </w:footnote>
  <w:footnote w:id="9">
    <w:p w:rsidR="00083D16" w:rsidRPr="00083D16" w:rsidRDefault="00083D16">
      <w:pPr>
        <w:pStyle w:val="Fotnotstext"/>
      </w:pPr>
      <w:r>
        <w:rPr>
          <w:rStyle w:val="Fotnotsreferens"/>
        </w:rPr>
        <w:footnoteRef/>
      </w:r>
      <w:r>
        <w:t xml:space="preserve"> Se </w:t>
      </w:r>
      <w:hyperlink r:id="rId1" w:history="1">
        <w:r w:rsidRPr="002E6851">
          <w:rPr>
            <w:rStyle w:val="Hyperlnk"/>
          </w:rPr>
          <w:t>http://artsonline.monash.edu.au/archaeology/excavations-in-dakhleh-oasis-egypt/</w:t>
        </w:r>
      </w:hyperlink>
      <w:r>
        <w:t xml:space="preserve"> hämtad 2013-07-25.</w:t>
      </w:r>
    </w:p>
  </w:footnote>
  <w:footnote w:id="10">
    <w:p w:rsidR="00896DB2" w:rsidRPr="00896DB2" w:rsidRDefault="00896DB2">
      <w:pPr>
        <w:pStyle w:val="Fotnotstext"/>
      </w:pPr>
      <w:r>
        <w:rPr>
          <w:rStyle w:val="Fotnotsreferens"/>
        </w:rPr>
        <w:footnoteRef/>
      </w:r>
      <w:r>
        <w:t xml:space="preserve"> De hittills publicerade texterna finns utgivna i Gardner 1996, </w:t>
      </w:r>
      <w:proofErr w:type="spellStart"/>
      <w:r>
        <w:t>Bagnall</w:t>
      </w:r>
      <w:proofErr w:type="spellEnd"/>
      <w:r>
        <w:t xml:space="preserve"> 1997, </w:t>
      </w:r>
      <w:proofErr w:type="spellStart"/>
      <w:r>
        <w:t>Rijksbaron</w:t>
      </w:r>
      <w:proofErr w:type="spellEnd"/>
      <w:r>
        <w:t xml:space="preserve"> &amp; </w:t>
      </w:r>
      <w:proofErr w:type="spellStart"/>
      <w:r>
        <w:t>Worp</w:t>
      </w:r>
      <w:proofErr w:type="spellEnd"/>
      <w:r>
        <w:t xml:space="preserve"> 1997, Gardner, </w:t>
      </w:r>
      <w:proofErr w:type="spellStart"/>
      <w:r>
        <w:t>Alcock</w:t>
      </w:r>
      <w:proofErr w:type="spellEnd"/>
      <w:r>
        <w:t xml:space="preserve"> &amp; Funk 1999, samt </w:t>
      </w:r>
      <w:proofErr w:type="spellStart"/>
      <w:r>
        <w:t>Worp</w:t>
      </w:r>
      <w:proofErr w:type="spellEnd"/>
      <w:r>
        <w:t xml:space="preserve"> 2004. Ytterligare litterärt och dokumentärt material är under utgivning. För uppdateringar om utgivning och forskning gällande det manikeiska materialet se </w:t>
      </w:r>
      <w:hyperlink r:id="rId2" w:history="1">
        <w:r w:rsidRPr="002E6851">
          <w:rPr>
            <w:rStyle w:val="Hyperlnk"/>
          </w:rPr>
          <w:t>http://artsonline.monash.edu.au/archaeology/publications-related-to-the-excavations-at-kellis/</w:t>
        </w:r>
      </w:hyperlink>
      <w:r>
        <w:t xml:space="preserve">.    </w:t>
      </w:r>
    </w:p>
  </w:footnote>
  <w:footnote w:id="11">
    <w:p w:rsidR="00B34CAA" w:rsidRPr="00B34CAA" w:rsidRDefault="00B34CAA" w:rsidP="00B34CAA">
      <w:pPr>
        <w:autoSpaceDE w:val="0"/>
        <w:autoSpaceDN w:val="0"/>
        <w:adjustRightInd w:val="0"/>
        <w:spacing w:after="0" w:line="240" w:lineRule="auto"/>
      </w:pPr>
      <w:r>
        <w:rPr>
          <w:rStyle w:val="Fotnotsreferens"/>
        </w:rPr>
        <w:footnoteRef/>
      </w:r>
      <w:r>
        <w:t xml:space="preserve"> För mer material se </w:t>
      </w:r>
      <w:r w:rsidRPr="00B34CAA">
        <w:t xml:space="preserve">The </w:t>
      </w:r>
      <w:proofErr w:type="spellStart"/>
      <w:r w:rsidRPr="00B34CAA">
        <w:t>Melammu</w:t>
      </w:r>
      <w:proofErr w:type="spellEnd"/>
      <w:r w:rsidRPr="00B34CAA">
        <w:t xml:space="preserve"> </w:t>
      </w:r>
      <w:proofErr w:type="spellStart"/>
      <w:r w:rsidRPr="00B34CAA">
        <w:t>project</w:t>
      </w:r>
      <w:proofErr w:type="spellEnd"/>
      <w:r w:rsidRPr="00B34CAA">
        <w:t xml:space="preserve"> http://www.aakkl.helsinki.fi/melammu/home/home.php   </w:t>
      </w:r>
    </w:p>
    <w:p w:rsidR="00B34CAA" w:rsidRPr="00B34CAA" w:rsidRDefault="00B34CAA">
      <w:pPr>
        <w:pStyle w:val="Fotnotstext"/>
      </w:pPr>
    </w:p>
  </w:footnote>
  <w:footnote w:id="12">
    <w:p w:rsidR="00126A72" w:rsidRPr="00126A72" w:rsidRDefault="00126A72">
      <w:pPr>
        <w:pStyle w:val="Fotnotstext"/>
      </w:pPr>
      <w:r>
        <w:rPr>
          <w:rStyle w:val="Fotnotsreferens"/>
        </w:rPr>
        <w:footnoteRef/>
      </w:r>
      <w:r>
        <w:t xml:space="preserve"> För judekristendomarnas betydelsefulla roll bland de antika kristendomsriktningarna se </w:t>
      </w:r>
      <w:proofErr w:type="spellStart"/>
      <w:r w:rsidR="00E56C91">
        <w:t>Broadhead</w:t>
      </w:r>
      <w:proofErr w:type="spellEnd"/>
      <w:r w:rsidR="00E56C91">
        <w:t xml:space="preserve"> 2010.</w:t>
      </w:r>
      <w:r w:rsidR="004158F2">
        <w:t xml:space="preserve"> För mer om receptionen av </w:t>
      </w:r>
      <w:proofErr w:type="spellStart"/>
      <w:r w:rsidR="004158F2">
        <w:t>Elkesai</w:t>
      </w:r>
      <w:proofErr w:type="spellEnd"/>
      <w:r w:rsidR="004158F2">
        <w:t xml:space="preserve"> se </w:t>
      </w:r>
      <w:proofErr w:type="spellStart"/>
      <w:r w:rsidR="004158F2">
        <w:t>Luttikhuizen</w:t>
      </w:r>
      <w:proofErr w:type="spellEnd"/>
      <w:r w:rsidR="004158F2">
        <w:t xml:space="preserve"> 1985.</w:t>
      </w:r>
      <w:r w:rsidR="00E56C91">
        <w:t xml:space="preserve"> </w:t>
      </w:r>
      <w:r>
        <w:t xml:space="preserve"> </w:t>
      </w:r>
    </w:p>
  </w:footnote>
  <w:footnote w:id="13">
    <w:p w:rsidR="007023EF" w:rsidRPr="007023EF" w:rsidRDefault="007023EF">
      <w:pPr>
        <w:pStyle w:val="Fotnotstext"/>
      </w:pPr>
      <w:r>
        <w:rPr>
          <w:rStyle w:val="Fotnotsreferens"/>
        </w:rPr>
        <w:footnoteRef/>
      </w:r>
      <w:r>
        <w:t xml:space="preserve"> Se </w:t>
      </w:r>
      <w:proofErr w:type="spellStart"/>
      <w:r>
        <w:t>Pettipiece</w:t>
      </w:r>
      <w:proofErr w:type="spellEnd"/>
      <w:r>
        <w:t xml:space="preserve"> 2009, särskilt 7-20</w:t>
      </w:r>
      <w:r w:rsidR="009B54CD">
        <w:t xml:space="preserve"> och Funk 1997</w:t>
      </w:r>
      <w:r>
        <w:t>.</w:t>
      </w:r>
    </w:p>
  </w:footnote>
  <w:footnote w:id="14">
    <w:p w:rsidR="00290AB1" w:rsidRPr="00290AB1" w:rsidRDefault="00290AB1">
      <w:pPr>
        <w:pStyle w:val="Fotnotstext"/>
      </w:pPr>
      <w:r>
        <w:rPr>
          <w:rStyle w:val="Fotnotsreferens"/>
        </w:rPr>
        <w:footnoteRef/>
      </w:r>
      <w:r>
        <w:t xml:space="preserve"> Gardner &amp; </w:t>
      </w:r>
      <w:proofErr w:type="spellStart"/>
      <w:r>
        <w:t>Lieu</w:t>
      </w:r>
      <w:proofErr w:type="spellEnd"/>
      <w:r>
        <w:t xml:space="preserve"> 2004, 6-7. </w:t>
      </w:r>
    </w:p>
  </w:footnote>
  <w:footnote w:id="15">
    <w:p w:rsidR="00537573" w:rsidRPr="00537573" w:rsidRDefault="00537573">
      <w:pPr>
        <w:pStyle w:val="Fotnotstext"/>
      </w:pPr>
      <w:r>
        <w:rPr>
          <w:rStyle w:val="Fotnotsreferens"/>
        </w:rPr>
        <w:footnoteRef/>
      </w:r>
      <w:r>
        <w:t xml:space="preserve"> </w:t>
      </w:r>
      <w:r w:rsidR="001426AD">
        <w:t xml:space="preserve">För en kommenterad utgåva av den medelpersiska texten se </w:t>
      </w:r>
      <w:proofErr w:type="spellStart"/>
      <w:r w:rsidR="001426AD">
        <w:t>Hutter</w:t>
      </w:r>
      <w:proofErr w:type="spellEnd"/>
      <w:r w:rsidR="001426AD">
        <w:t xml:space="preserve"> 1992.</w:t>
      </w:r>
      <w:r>
        <w:t xml:space="preserve"> </w:t>
      </w:r>
    </w:p>
  </w:footnote>
  <w:footnote w:id="16">
    <w:p w:rsidR="00D37456" w:rsidRPr="00D37456" w:rsidRDefault="00D37456">
      <w:pPr>
        <w:pStyle w:val="Fotnotstext"/>
      </w:pPr>
      <w:r>
        <w:rPr>
          <w:rStyle w:val="Fotnotsreferens"/>
        </w:rPr>
        <w:footnoteRef/>
      </w:r>
      <w:r>
        <w:t xml:space="preserve"> Gardner &amp; </w:t>
      </w:r>
      <w:proofErr w:type="spellStart"/>
      <w:r>
        <w:t>Lieu</w:t>
      </w:r>
      <w:proofErr w:type="spellEnd"/>
      <w:r>
        <w:t xml:space="preserve"> 2004, 7. </w:t>
      </w:r>
    </w:p>
  </w:footnote>
  <w:footnote w:id="17">
    <w:p w:rsidR="003820F2" w:rsidRPr="003820F2" w:rsidRDefault="003820F2">
      <w:pPr>
        <w:pStyle w:val="Fotnotstext"/>
      </w:pPr>
      <w:r>
        <w:rPr>
          <w:rStyle w:val="Fotnotsreferens"/>
        </w:rPr>
        <w:footnoteRef/>
      </w:r>
      <w:r>
        <w:t xml:space="preserve"> För diskussion om konsekvenserna av monoteism/religioner med universali</w:t>
      </w:r>
      <w:r w:rsidR="00161110">
        <w:t>s</w:t>
      </w:r>
      <w:r>
        <w:t>tiska anspråk</w:t>
      </w:r>
      <w:r w:rsidR="00662462">
        <w:t xml:space="preserve"> </w:t>
      </w:r>
      <w:r>
        <w:t xml:space="preserve">i relation till </w:t>
      </w:r>
      <w:r w:rsidR="00F76AC0">
        <w:t>maktutövn</w:t>
      </w:r>
      <w:r w:rsidR="00662462">
        <w:t>i</w:t>
      </w:r>
      <w:r w:rsidR="00F76AC0">
        <w:t xml:space="preserve">ng </w:t>
      </w:r>
      <w:r w:rsidR="00662462">
        <w:t xml:space="preserve">och imperiebygge </w:t>
      </w:r>
      <w:r w:rsidR="00F76AC0">
        <w:t xml:space="preserve">se </w:t>
      </w:r>
      <w:proofErr w:type="spellStart"/>
      <w:r w:rsidR="00F76AC0">
        <w:t>Fowden</w:t>
      </w:r>
      <w:proofErr w:type="spellEnd"/>
      <w:r w:rsidR="00F76AC0">
        <w:t xml:space="preserve"> 1993, Stark 2001 samt Russell 1994.</w:t>
      </w:r>
      <w:r>
        <w:t xml:space="preserve"> </w:t>
      </w:r>
    </w:p>
  </w:footnote>
  <w:footnote w:id="18">
    <w:p w:rsidR="005C4D70" w:rsidRPr="005C4D70" w:rsidRDefault="005C4D70">
      <w:pPr>
        <w:pStyle w:val="Fotnotstext"/>
      </w:pPr>
      <w:r>
        <w:rPr>
          <w:rStyle w:val="Fotnotsreferens"/>
        </w:rPr>
        <w:footnoteRef/>
      </w:r>
      <w:r>
        <w:t xml:space="preserve"> Litteraturen på det här området är oändlig, men se gärna </w:t>
      </w:r>
      <w:proofErr w:type="spellStart"/>
      <w:r>
        <w:t>Taussig</w:t>
      </w:r>
      <w:proofErr w:type="spellEnd"/>
      <w:r>
        <w:t xml:space="preserve"> 20</w:t>
      </w:r>
      <w:r w:rsidR="005B645E">
        <w:t>09</w:t>
      </w:r>
      <w:r>
        <w:t xml:space="preserve">, 11-20 för en kort </w:t>
      </w:r>
      <w:proofErr w:type="spellStart"/>
      <w:r>
        <w:t>sammanfatnting</w:t>
      </w:r>
      <w:proofErr w:type="spellEnd"/>
      <w:r>
        <w:t xml:space="preserve"> med litteraturtips.</w:t>
      </w:r>
    </w:p>
  </w:footnote>
  <w:footnote w:id="19">
    <w:p w:rsidR="00D86070" w:rsidRPr="00D86070" w:rsidRDefault="00D86070">
      <w:pPr>
        <w:pStyle w:val="Fotnotstext"/>
      </w:pPr>
      <w:r>
        <w:rPr>
          <w:rStyle w:val="Fotnotsreferens"/>
        </w:rPr>
        <w:footnoteRef/>
      </w:r>
      <w:r>
        <w:t xml:space="preserve"> Williams 1996, särskilt 51-53. </w:t>
      </w:r>
    </w:p>
  </w:footnote>
  <w:footnote w:id="20">
    <w:p w:rsidR="00523275" w:rsidRPr="00523275" w:rsidRDefault="00523275">
      <w:pPr>
        <w:pStyle w:val="Fotnotstext"/>
      </w:pPr>
      <w:r>
        <w:rPr>
          <w:rStyle w:val="Fotnotsreferens"/>
        </w:rPr>
        <w:footnoteRef/>
      </w:r>
      <w:r>
        <w:t xml:space="preserve"> King 2003 och i än högre grad 2006, särskilt IX-X. Dunderberg </w:t>
      </w:r>
      <w:proofErr w:type="gramStart"/>
      <w:r>
        <w:t>2008 ,</w:t>
      </w:r>
      <w:proofErr w:type="gramEnd"/>
      <w:r>
        <w:t xml:space="preserve"> särskilt 14-21, använder kristen som huvudkategori, men till skillnad från King anser han inte att underkategorier som exempelvis </w:t>
      </w:r>
      <w:proofErr w:type="spellStart"/>
      <w:r>
        <w:t>valentiniansk</w:t>
      </w:r>
      <w:proofErr w:type="spellEnd"/>
      <w:r>
        <w:t xml:space="preserve"> riskerar att marginalisera dessa grupper. </w:t>
      </w:r>
    </w:p>
  </w:footnote>
  <w:footnote w:id="21">
    <w:p w:rsidR="00D84959" w:rsidRPr="00C91727" w:rsidRDefault="00D84959">
      <w:pPr>
        <w:pStyle w:val="Fotnotstext"/>
      </w:pPr>
      <w:r>
        <w:rPr>
          <w:rStyle w:val="Fotnotsreferens"/>
        </w:rPr>
        <w:footnoteRef/>
      </w:r>
      <w:r w:rsidRPr="00C91727">
        <w:t xml:space="preserve"> Bianchi 1967, xxvi-xxix. </w:t>
      </w:r>
    </w:p>
  </w:footnote>
  <w:footnote w:id="22">
    <w:p w:rsidR="003A1973" w:rsidRPr="003A1973" w:rsidRDefault="003A1973">
      <w:pPr>
        <w:pStyle w:val="Fotnotstext"/>
      </w:pPr>
      <w:r>
        <w:rPr>
          <w:rStyle w:val="Fotnotsreferens"/>
        </w:rPr>
        <w:footnoteRef/>
      </w:r>
      <w:r>
        <w:t xml:space="preserve"> Magnusson 2012. </w:t>
      </w:r>
    </w:p>
  </w:footnote>
  <w:footnote w:id="23">
    <w:p w:rsidR="005B1476" w:rsidRPr="00B0392E" w:rsidRDefault="005B1476">
      <w:pPr>
        <w:pStyle w:val="Fotnotstext"/>
        <w:rPr>
          <w:lang w:val="en-US"/>
        </w:rPr>
      </w:pPr>
      <w:r>
        <w:rPr>
          <w:rStyle w:val="Fotnotsreferens"/>
        </w:rPr>
        <w:footnoteRef/>
      </w:r>
      <w:r w:rsidRPr="00B0392E">
        <w:rPr>
          <w:lang w:val="en-US"/>
        </w:rPr>
        <w:t xml:space="preserve"> </w:t>
      </w:r>
      <w:proofErr w:type="spellStart"/>
      <w:proofErr w:type="gramStart"/>
      <w:r w:rsidRPr="00B0392E">
        <w:rPr>
          <w:lang w:val="en-US"/>
        </w:rPr>
        <w:t>Keph</w:t>
      </w:r>
      <w:proofErr w:type="spellEnd"/>
      <w:r w:rsidRPr="00B0392E">
        <w:rPr>
          <w:lang w:val="en-US"/>
        </w:rPr>
        <w:t>.</w:t>
      </w:r>
      <w:proofErr w:type="gramEnd"/>
      <w:r w:rsidRPr="00B0392E">
        <w:rPr>
          <w:lang w:val="en-US"/>
        </w:rPr>
        <w:t xml:space="preserve"> 15:19-23</w:t>
      </w:r>
      <w:r w:rsidR="007769DD">
        <w:rPr>
          <w:lang w:val="en-US"/>
        </w:rPr>
        <w:t>, CMC. 2</w:t>
      </w:r>
      <w:r w:rsidRPr="00B0392E">
        <w:rPr>
          <w:lang w:val="en-US"/>
        </w:rPr>
        <w:t xml:space="preserve">. </w:t>
      </w:r>
    </w:p>
  </w:footnote>
  <w:footnote w:id="24">
    <w:p w:rsidR="0080151C" w:rsidRPr="00B0392E" w:rsidRDefault="0080151C">
      <w:pPr>
        <w:pStyle w:val="Fotnotstext"/>
        <w:rPr>
          <w:lang w:val="en-US"/>
        </w:rPr>
      </w:pPr>
      <w:r>
        <w:rPr>
          <w:rStyle w:val="Fotnotsreferens"/>
        </w:rPr>
        <w:footnoteRef/>
      </w:r>
      <w:r w:rsidRPr="00B0392E">
        <w:rPr>
          <w:lang w:val="en-US"/>
        </w:rPr>
        <w:t xml:space="preserve"> </w:t>
      </w:r>
      <w:proofErr w:type="spellStart"/>
      <w:proofErr w:type="gramStart"/>
      <w:r w:rsidRPr="00B0392E">
        <w:rPr>
          <w:lang w:val="en-US"/>
        </w:rPr>
        <w:t>Keph</w:t>
      </w:r>
      <w:proofErr w:type="spellEnd"/>
      <w:r w:rsidRPr="00B0392E">
        <w:rPr>
          <w:lang w:val="en-US"/>
        </w:rPr>
        <w:t>.</w:t>
      </w:r>
      <w:proofErr w:type="gramEnd"/>
      <w:r w:rsidRPr="00B0392E">
        <w:rPr>
          <w:lang w:val="en-US"/>
        </w:rPr>
        <w:t xml:space="preserve"> 15:23-24.</w:t>
      </w:r>
    </w:p>
  </w:footnote>
  <w:footnote w:id="25">
    <w:p w:rsidR="00AD68C8" w:rsidRPr="00B0392E" w:rsidRDefault="00AD68C8">
      <w:pPr>
        <w:pStyle w:val="Fotnotstext"/>
        <w:rPr>
          <w:lang w:val="en-US"/>
        </w:rPr>
      </w:pPr>
      <w:r>
        <w:rPr>
          <w:rStyle w:val="Fotnotsreferens"/>
        </w:rPr>
        <w:footnoteRef/>
      </w:r>
      <w:r w:rsidRPr="00B0392E">
        <w:rPr>
          <w:lang w:val="en-US"/>
        </w:rPr>
        <w:t xml:space="preserve"> </w:t>
      </w:r>
      <w:proofErr w:type="spellStart"/>
      <w:proofErr w:type="gramStart"/>
      <w:r w:rsidRPr="00B0392E">
        <w:rPr>
          <w:lang w:val="en-US"/>
        </w:rPr>
        <w:t>Keph</w:t>
      </w:r>
      <w:proofErr w:type="spellEnd"/>
      <w:r w:rsidRPr="00B0392E">
        <w:rPr>
          <w:lang w:val="en-US"/>
        </w:rPr>
        <w:t>.</w:t>
      </w:r>
      <w:proofErr w:type="gramEnd"/>
      <w:r w:rsidRPr="00B0392E">
        <w:rPr>
          <w:lang w:val="en-US"/>
        </w:rPr>
        <w:t xml:space="preserve"> 36:6-9. </w:t>
      </w:r>
    </w:p>
  </w:footnote>
  <w:footnote w:id="26">
    <w:p w:rsidR="00D62507" w:rsidRPr="00F60456" w:rsidRDefault="00D62507">
      <w:pPr>
        <w:pStyle w:val="Fotnotstext"/>
        <w:rPr>
          <w:lang w:val="en-US"/>
        </w:rPr>
      </w:pPr>
      <w:r>
        <w:rPr>
          <w:rStyle w:val="Fotnotsreferens"/>
        </w:rPr>
        <w:footnoteRef/>
      </w:r>
      <w:r w:rsidRPr="00F60456">
        <w:rPr>
          <w:lang w:val="en-US"/>
        </w:rPr>
        <w:t xml:space="preserve"> </w:t>
      </w:r>
      <w:proofErr w:type="gramStart"/>
      <w:r w:rsidRPr="00F60456">
        <w:rPr>
          <w:lang w:val="en-US"/>
        </w:rPr>
        <w:t>Gardner &amp; Lieu 2004, 11.</w:t>
      </w:r>
      <w:proofErr w:type="gramEnd"/>
      <w:r w:rsidRPr="00F60456">
        <w:rPr>
          <w:lang w:val="en-US"/>
        </w:rPr>
        <w:t xml:space="preserve"> </w:t>
      </w:r>
    </w:p>
  </w:footnote>
  <w:footnote w:id="27">
    <w:p w:rsidR="00062C83" w:rsidRPr="00062C83" w:rsidRDefault="00062C83">
      <w:pPr>
        <w:pStyle w:val="Fotnotstext"/>
      </w:pPr>
      <w:r>
        <w:rPr>
          <w:rStyle w:val="Fotnotsreferens"/>
        </w:rPr>
        <w:footnoteRef/>
      </w:r>
      <w:r>
        <w:t xml:space="preserve"> </w:t>
      </w:r>
      <w:proofErr w:type="spellStart"/>
      <w:r>
        <w:t>Beduhn</w:t>
      </w:r>
      <w:proofErr w:type="spellEnd"/>
      <w:r>
        <w:t xml:space="preserve"> 2009.</w:t>
      </w:r>
    </w:p>
  </w:footnote>
  <w:footnote w:id="28">
    <w:p w:rsidR="00F60456" w:rsidRPr="00F60456" w:rsidRDefault="00F60456">
      <w:pPr>
        <w:pStyle w:val="Fotnotstext"/>
      </w:pPr>
      <w:r>
        <w:rPr>
          <w:rStyle w:val="Fotnotsreferens"/>
        </w:rPr>
        <w:footnoteRef/>
      </w:r>
      <w:r>
        <w:t xml:space="preserve"> Gardner &amp; </w:t>
      </w:r>
      <w:proofErr w:type="spellStart"/>
      <w:r>
        <w:t>Lieu</w:t>
      </w:r>
      <w:proofErr w:type="spellEnd"/>
      <w:r>
        <w:t xml:space="preserve"> 2004, 10.</w:t>
      </w:r>
    </w:p>
  </w:footnote>
  <w:footnote w:id="29">
    <w:p w:rsidR="00621C22" w:rsidRPr="00621C22" w:rsidRDefault="00621C22">
      <w:pPr>
        <w:pStyle w:val="Fotnotstext"/>
      </w:pPr>
      <w:r>
        <w:rPr>
          <w:rStyle w:val="Fotnotsreferens"/>
        </w:rPr>
        <w:footnoteRef/>
      </w:r>
      <w:r>
        <w:t xml:space="preserve"> </w:t>
      </w:r>
      <w:proofErr w:type="spellStart"/>
      <w:r>
        <w:rPr>
          <w:rFonts w:ascii="Courier New" w:hAnsi="Courier New" w:cs="Courier New"/>
          <w:sz w:val="22"/>
        </w:rPr>
        <w:t>Keph</w:t>
      </w:r>
      <w:proofErr w:type="spellEnd"/>
      <w:r>
        <w:rPr>
          <w:rFonts w:ascii="Courier New" w:hAnsi="Courier New" w:cs="Courier New"/>
          <w:sz w:val="22"/>
        </w:rPr>
        <w:t xml:space="preserve">. 193, 26-194,13 i översättning från Gardner &amp; </w:t>
      </w:r>
      <w:proofErr w:type="spellStart"/>
      <w:r>
        <w:rPr>
          <w:rFonts w:ascii="Courier New" w:hAnsi="Courier New" w:cs="Courier New"/>
          <w:sz w:val="22"/>
        </w:rPr>
        <w:t>Lieu</w:t>
      </w:r>
      <w:proofErr w:type="spellEnd"/>
      <w:r>
        <w:rPr>
          <w:rFonts w:ascii="Courier New" w:hAnsi="Courier New" w:cs="Courier New"/>
          <w:sz w:val="22"/>
        </w:rPr>
        <w:t xml:space="preserve"> 2004, 23.</w:t>
      </w:r>
    </w:p>
  </w:footnote>
  <w:footnote w:id="30">
    <w:p w:rsidR="008266AF" w:rsidRDefault="008266AF">
      <w:pPr>
        <w:pStyle w:val="Fotnotstext"/>
      </w:pPr>
      <w:r>
        <w:rPr>
          <w:rStyle w:val="Fotnotsreferens"/>
        </w:rPr>
        <w:footnoteRef/>
      </w:r>
      <w:r>
        <w:t xml:space="preserve"> För en utförlig diskussion om de föreställningar som låg till grund för matsmältningens förmåga att </w:t>
      </w:r>
      <w:proofErr w:type="gramStart"/>
      <w:r>
        <w:t>befria  ljuset</w:t>
      </w:r>
      <w:proofErr w:type="gramEnd"/>
      <w:r>
        <w:t xml:space="preserve"> se </w:t>
      </w:r>
      <w:proofErr w:type="spellStart"/>
      <w:r>
        <w:t>Beduhn</w:t>
      </w:r>
      <w:proofErr w:type="spellEnd"/>
      <w:r>
        <w:t xml:space="preserve"> 2000, 163-233. </w:t>
      </w:r>
    </w:p>
  </w:footnote>
  <w:footnote w:id="31">
    <w:p w:rsidR="00FB20D8" w:rsidRDefault="00FB20D8">
      <w:pPr>
        <w:pStyle w:val="Fotnotstext"/>
      </w:pPr>
      <w:r>
        <w:rPr>
          <w:rStyle w:val="Fotnotsreferens"/>
        </w:rPr>
        <w:footnoteRef/>
      </w:r>
      <w:r>
        <w:t xml:space="preserve"> </w:t>
      </w:r>
      <w:r w:rsidR="00420EB5">
        <w:t>E</w:t>
      </w:r>
      <w:r w:rsidR="0006062F">
        <w:t xml:space="preserve">xempelvis Kell. </w:t>
      </w:r>
      <w:proofErr w:type="spellStart"/>
      <w:r w:rsidR="0006062F">
        <w:t>Copt</w:t>
      </w:r>
      <w:proofErr w:type="spellEnd"/>
      <w:r w:rsidR="0006062F">
        <w:t xml:space="preserve">. 12 och i Kell. </w:t>
      </w:r>
      <w:proofErr w:type="spellStart"/>
      <w:r w:rsidR="0006062F">
        <w:t>Copt</w:t>
      </w:r>
      <w:proofErr w:type="spellEnd"/>
      <w:r w:rsidR="0006062F">
        <w:t>. 19-</w:t>
      </w:r>
      <w:r w:rsidR="006C162B">
        <w:t>29</w:t>
      </w:r>
      <w:r w:rsidR="0006062F">
        <w:t xml:space="preserve">. Därtill </w:t>
      </w:r>
      <w:r>
        <w:t xml:space="preserve">hade sannolikt manikéer i likhet med kristna och judar en fördel då de inte tillät abort och därigenom minskade mortaliteten bland kvinnor. Aborter var mycket riskabla under antiken. </w:t>
      </w:r>
      <w:r w:rsidR="000F15CB">
        <w:t xml:space="preserve">Vidare gjorde abortförbudet att fler födda barn fick leva. Annars var utsättandet av flickor väldigt vanligt under antiken vilket ledde till ett kvinnounderskott. </w:t>
      </w:r>
      <w:r>
        <w:t xml:space="preserve">Då manikéer inte ville ”bruka våld” mot det ljus som fanns i många växter verkar det som om yrken som lärare, skrivare och läkare var vanligare bland dem än bland resten av befolkningen. Åtminstone är dessa grupper frekventa i </w:t>
      </w:r>
      <w:proofErr w:type="spellStart"/>
      <w:r>
        <w:t>kellismaterialet</w:t>
      </w:r>
      <w:proofErr w:type="spellEnd"/>
      <w:r>
        <w:t xml:space="preserve">. </w:t>
      </w:r>
      <w:proofErr w:type="spellStart"/>
      <w:r>
        <w:t>Möjigen</w:t>
      </w:r>
      <w:proofErr w:type="spellEnd"/>
      <w:r>
        <w:t xml:space="preserve"> kan </w:t>
      </w:r>
      <w:proofErr w:type="gramStart"/>
      <w:r>
        <w:t>sådan yrken</w:t>
      </w:r>
      <w:proofErr w:type="gramEnd"/>
      <w:r>
        <w:t xml:space="preserve"> också varit </w:t>
      </w:r>
      <w:proofErr w:type="spellStart"/>
      <w:r>
        <w:t>gynsamma</w:t>
      </w:r>
      <w:proofErr w:type="spellEnd"/>
      <w:r>
        <w:t xml:space="preserve"> för överlevnadsgraden bland manikéerna och därigenom kompenserat för något lägre nativitet. För relaterade diskussioner om kristendom se Stark 1996, framförallt 95-128. </w:t>
      </w:r>
    </w:p>
  </w:footnote>
  <w:footnote w:id="32">
    <w:p w:rsidR="00125F56" w:rsidRDefault="00125F56">
      <w:pPr>
        <w:pStyle w:val="Fotnotstext"/>
      </w:pPr>
      <w:r>
        <w:rPr>
          <w:rStyle w:val="Fotnotsreferens"/>
        </w:rPr>
        <w:footnoteRef/>
      </w:r>
      <w:r>
        <w:t xml:space="preserve"> </w:t>
      </w:r>
      <w:r w:rsidR="00840085">
        <w:t xml:space="preserve">Listan kan göras lång, men jag nöjer mig här med at nämna </w:t>
      </w:r>
      <w:r>
        <w:t xml:space="preserve">Kell. </w:t>
      </w:r>
      <w:proofErr w:type="spellStart"/>
      <w:r>
        <w:t>Copt</w:t>
      </w:r>
      <w:proofErr w:type="spellEnd"/>
      <w:r>
        <w:t xml:space="preserve">. 11, 12, </w:t>
      </w:r>
      <w:r w:rsidR="00002D3D">
        <w:t>15,</w:t>
      </w:r>
      <w:r w:rsidR="00840085">
        <w:t xml:space="preserve"> 16 och 20. </w:t>
      </w:r>
    </w:p>
  </w:footnote>
  <w:footnote w:id="33">
    <w:p w:rsidR="00750BAE" w:rsidRDefault="00750BAE">
      <w:pPr>
        <w:pStyle w:val="Fotnotstext"/>
      </w:pPr>
      <w:r>
        <w:rPr>
          <w:rStyle w:val="Fotnotsreferens"/>
        </w:rPr>
        <w:footnoteRef/>
      </w:r>
      <w:r>
        <w:t xml:space="preserve"> Kell. </w:t>
      </w:r>
      <w:proofErr w:type="spellStart"/>
      <w:r>
        <w:t>Copt</w:t>
      </w:r>
      <w:proofErr w:type="spellEnd"/>
      <w:r>
        <w:t xml:space="preserve">. 25. </w:t>
      </w:r>
    </w:p>
  </w:footnote>
  <w:footnote w:id="34">
    <w:p w:rsidR="00D54E98" w:rsidRDefault="00D54E98">
      <w:pPr>
        <w:pStyle w:val="Fotnotstext"/>
      </w:pPr>
      <w:r>
        <w:rPr>
          <w:rStyle w:val="Fotnotsreferens"/>
        </w:rPr>
        <w:footnoteRef/>
      </w:r>
      <w:r>
        <w:t xml:space="preserve"> Det är stort i de brev som knyts till Makarios familj: Kell. </w:t>
      </w:r>
      <w:proofErr w:type="spellStart"/>
      <w:r>
        <w:t>Copt</w:t>
      </w:r>
      <w:proofErr w:type="spellEnd"/>
      <w:r>
        <w:t>. 19-</w:t>
      </w:r>
      <w:r w:rsidR="006C162B">
        <w:t>29</w:t>
      </w:r>
      <w:r>
        <w:t xml:space="preserve">, medan det är lägre i exempelvis Kell. </w:t>
      </w:r>
      <w:proofErr w:type="spellStart"/>
      <w:r>
        <w:t>Copt</w:t>
      </w:r>
      <w:proofErr w:type="spellEnd"/>
      <w:r>
        <w:t xml:space="preserve">. 11-14. </w:t>
      </w:r>
    </w:p>
  </w:footnote>
  <w:footnote w:id="35">
    <w:p w:rsidR="00C05F00" w:rsidRDefault="00C05F00">
      <w:pPr>
        <w:pStyle w:val="Fotnotstext"/>
      </w:pPr>
      <w:r>
        <w:rPr>
          <w:rStyle w:val="Fotnotsreferens"/>
        </w:rPr>
        <w:footnoteRef/>
      </w:r>
      <w:r>
        <w:t xml:space="preserve"> </w:t>
      </w:r>
      <w:proofErr w:type="spellStart"/>
      <w:r>
        <w:t>Colditz</w:t>
      </w:r>
      <w:proofErr w:type="spellEnd"/>
      <w:r>
        <w:t xml:space="preserve"> 2009, 77.</w:t>
      </w:r>
    </w:p>
  </w:footnote>
  <w:footnote w:id="36">
    <w:p w:rsidR="009105F7" w:rsidRDefault="009105F7">
      <w:pPr>
        <w:pStyle w:val="Fotnotstext"/>
      </w:pPr>
      <w:r>
        <w:rPr>
          <w:rStyle w:val="Fotnotsreferens"/>
        </w:rPr>
        <w:footnoteRef/>
      </w:r>
      <w:r>
        <w:t xml:space="preserve"> För referenser se </w:t>
      </w:r>
      <w:proofErr w:type="spellStart"/>
      <w:r>
        <w:t>Colditz</w:t>
      </w:r>
      <w:proofErr w:type="spellEnd"/>
      <w:r>
        <w:t xml:space="preserve"> 2009, 78. </w:t>
      </w:r>
    </w:p>
  </w:footnote>
  <w:footnote w:id="37">
    <w:p w:rsidR="00A34472" w:rsidRDefault="00A34472">
      <w:pPr>
        <w:pStyle w:val="Fotnotstext"/>
      </w:pPr>
      <w:r>
        <w:rPr>
          <w:rStyle w:val="Fotnotsreferens"/>
        </w:rPr>
        <w:footnoteRef/>
      </w:r>
      <w:r>
        <w:t xml:space="preserve"> Breven so</w:t>
      </w:r>
      <w:r w:rsidR="002F67F4">
        <w:t>m</w:t>
      </w:r>
      <w:r>
        <w:t xml:space="preserve"> relateras till Makarios familj visar hur viktig man såg bokproduktion vara,</w:t>
      </w:r>
      <w:proofErr w:type="gramStart"/>
      <w:r>
        <w:t xml:space="preserve"> (Kell.</w:t>
      </w:r>
      <w:proofErr w:type="gramEnd"/>
      <w:r>
        <w:t xml:space="preserve"> </w:t>
      </w:r>
      <w:proofErr w:type="spellStart"/>
      <w:r>
        <w:t>Copt</w:t>
      </w:r>
      <w:proofErr w:type="spellEnd"/>
      <w:r>
        <w:t xml:space="preserve">. 19-29). Mathaios brev är här ett gott exempel på hur man satsat på en god utbildning för barnen, såväl när det gäller skönskrift som när det gäller litterär färdighet. </w:t>
      </w:r>
    </w:p>
  </w:footnote>
  <w:footnote w:id="38">
    <w:p w:rsidR="00466EE5" w:rsidRDefault="00466EE5">
      <w:pPr>
        <w:pStyle w:val="Fotnotstext"/>
      </w:pPr>
      <w:r>
        <w:rPr>
          <w:rStyle w:val="Fotnotsreferens"/>
        </w:rPr>
        <w:footnoteRef/>
      </w:r>
      <w:r>
        <w:t xml:space="preserve"> För referenser till primärkällor se </w:t>
      </w:r>
      <w:proofErr w:type="spellStart"/>
      <w:r>
        <w:t>Beduhn</w:t>
      </w:r>
      <w:proofErr w:type="spellEnd"/>
      <w:r>
        <w:t xml:space="preserve"> 2000, 131-135. </w:t>
      </w:r>
    </w:p>
  </w:footnote>
  <w:footnote w:id="39">
    <w:p w:rsidR="00B23EC6" w:rsidRDefault="00B23EC6">
      <w:pPr>
        <w:pStyle w:val="Fotnotstext"/>
      </w:pPr>
      <w:r>
        <w:rPr>
          <w:rStyle w:val="Fotnotsreferens"/>
        </w:rPr>
        <w:footnoteRef/>
      </w:r>
      <w:r>
        <w:t xml:space="preserve"> För re</w:t>
      </w:r>
      <w:r w:rsidR="00404A86">
        <w:t xml:space="preserve">ferenser se </w:t>
      </w:r>
      <w:proofErr w:type="spellStart"/>
      <w:r w:rsidR="00404A86">
        <w:t>Beduhn</w:t>
      </w:r>
      <w:proofErr w:type="spellEnd"/>
      <w:r w:rsidR="00404A86">
        <w:t xml:space="preserve"> 2000, 136-137</w:t>
      </w:r>
      <w:r>
        <w:t xml:space="preserve">. </w:t>
      </w:r>
    </w:p>
  </w:footnote>
  <w:footnote w:id="40">
    <w:p w:rsidR="00DC2C9B" w:rsidRDefault="00DC2C9B">
      <w:pPr>
        <w:pStyle w:val="Fotnotstext"/>
      </w:pPr>
      <w:r>
        <w:rPr>
          <w:rStyle w:val="Fotnotsreferens"/>
        </w:rPr>
        <w:footnoteRef/>
      </w:r>
      <w:r>
        <w:t xml:space="preserve"> Referenser i </w:t>
      </w:r>
      <w:proofErr w:type="spellStart"/>
      <w:r>
        <w:t>Beduhn</w:t>
      </w:r>
      <w:proofErr w:type="spellEnd"/>
      <w:r>
        <w:t xml:space="preserve"> 2000, 138. </w:t>
      </w:r>
    </w:p>
  </w:footnote>
  <w:footnote w:id="41">
    <w:p w:rsidR="006541BC" w:rsidRDefault="006541BC">
      <w:pPr>
        <w:pStyle w:val="Fotnotstext"/>
      </w:pPr>
      <w:r>
        <w:rPr>
          <w:rStyle w:val="Fotnotsreferens"/>
        </w:rPr>
        <w:footnoteRef/>
      </w:r>
      <w:r>
        <w:t xml:space="preserve"> Det sistnämnda är min slutsats och stöds av det material som manikeisk konst förser oss med, </w:t>
      </w:r>
      <w:proofErr w:type="spellStart"/>
      <w:r>
        <w:t>Beduhn</w:t>
      </w:r>
      <w:proofErr w:type="spellEnd"/>
      <w:r>
        <w:t xml:space="preserve"> 2000, 14</w:t>
      </w:r>
      <w:r w:rsidR="00395342">
        <w:t>0-141</w:t>
      </w:r>
      <w:r>
        <w:t xml:space="preserve">. </w:t>
      </w:r>
    </w:p>
  </w:footnote>
  <w:footnote w:id="42">
    <w:p w:rsidR="006541BC" w:rsidRDefault="006541BC">
      <w:pPr>
        <w:pStyle w:val="Fotnotstext"/>
      </w:pPr>
      <w:r>
        <w:rPr>
          <w:rStyle w:val="Fotnotsreferens"/>
        </w:rPr>
        <w:footnoteRef/>
      </w:r>
      <w:r>
        <w:t xml:space="preserve"> </w:t>
      </w:r>
      <w:proofErr w:type="spellStart"/>
      <w:r>
        <w:t>Beduhn</w:t>
      </w:r>
      <w:proofErr w:type="spellEnd"/>
      <w:r>
        <w:t xml:space="preserve"> 2000, 138. </w:t>
      </w:r>
    </w:p>
  </w:footnote>
  <w:footnote w:id="43">
    <w:p w:rsidR="00F9704A" w:rsidRDefault="00F9704A">
      <w:pPr>
        <w:pStyle w:val="Fotnotstext"/>
      </w:pPr>
      <w:r>
        <w:rPr>
          <w:rStyle w:val="Fotnotsreferens"/>
        </w:rPr>
        <w:footnoteRef/>
      </w:r>
      <w:r>
        <w:t xml:space="preserve"> För referenser från olika manikeiska källor se </w:t>
      </w:r>
      <w:proofErr w:type="spellStart"/>
      <w:r>
        <w:t>Beduhn</w:t>
      </w:r>
      <w:proofErr w:type="spellEnd"/>
      <w:r>
        <w:t xml:space="preserve"> 2000, 144-162. Vi bör dock vara försiktiga med att dra slutsatser från material som härsta</w:t>
      </w:r>
      <w:r w:rsidR="005933D6">
        <w:t>m</w:t>
      </w:r>
      <w:r>
        <w:t>mar från många olika sekler och sträcker sig från öst till väst.</w:t>
      </w:r>
      <w:r w:rsidR="00477AC7">
        <w:t xml:space="preserve"> Men när det gäller hymner, bön och prostrationer är samstämmigheten överväldigande. </w:t>
      </w:r>
      <w:r>
        <w:t xml:space="preserve"> </w:t>
      </w:r>
    </w:p>
  </w:footnote>
  <w:footnote w:id="44">
    <w:p w:rsidR="00FE7FCB" w:rsidRDefault="00FE7FCB">
      <w:pPr>
        <w:pStyle w:val="Fotnotstext"/>
      </w:pPr>
      <w:r>
        <w:rPr>
          <w:rStyle w:val="Fotnotsreferens"/>
        </w:rPr>
        <w:footnoteRef/>
      </w:r>
      <w:r>
        <w:t xml:space="preserve"> </w:t>
      </w:r>
      <w:proofErr w:type="spellStart"/>
      <w:r>
        <w:t>Beduhn</w:t>
      </w:r>
      <w:proofErr w:type="spellEnd"/>
      <w:r>
        <w:t xml:space="preserve"> 2000, 143. </w:t>
      </w:r>
    </w:p>
  </w:footnote>
  <w:footnote w:id="45">
    <w:p w:rsidR="00806061" w:rsidRDefault="00806061">
      <w:pPr>
        <w:pStyle w:val="Fotnotstext"/>
      </w:pPr>
      <w:r>
        <w:rPr>
          <w:rStyle w:val="Fotnotsreferens"/>
        </w:rPr>
        <w:footnoteRef/>
      </w:r>
      <w:r>
        <w:t xml:space="preserve"> Se exempelvis Kell. </w:t>
      </w:r>
      <w:proofErr w:type="spellStart"/>
      <w:r>
        <w:t>Copt</w:t>
      </w:r>
      <w:proofErr w:type="spellEnd"/>
      <w:r>
        <w:t xml:space="preserve">. 15, 17, 43 och 44. </w:t>
      </w:r>
    </w:p>
  </w:footnote>
  <w:footnote w:id="46">
    <w:p w:rsidR="00B026F1" w:rsidRDefault="00B026F1">
      <w:pPr>
        <w:pStyle w:val="Fotnotstext"/>
      </w:pPr>
      <w:r>
        <w:rPr>
          <w:rStyle w:val="Fotnotsreferens"/>
        </w:rPr>
        <w:footnoteRef/>
      </w:r>
      <w:r>
        <w:t xml:space="preserve">  </w:t>
      </w:r>
      <w:proofErr w:type="spellStart"/>
      <w:r>
        <w:t>Colditz</w:t>
      </w:r>
      <w:proofErr w:type="spellEnd"/>
      <w:r>
        <w:t xml:space="preserve"> 2009, 76.</w:t>
      </w:r>
    </w:p>
  </w:footnote>
  <w:footnote w:id="47">
    <w:p w:rsidR="0018239E" w:rsidRDefault="0018239E">
      <w:pPr>
        <w:pStyle w:val="Fotnotstext"/>
      </w:pPr>
      <w:r>
        <w:rPr>
          <w:rStyle w:val="Fotnotsreferens"/>
        </w:rPr>
        <w:footnoteRef/>
      </w:r>
      <w:r>
        <w:t xml:space="preserve"> För en relativt opedagogiskt skriven genomgång av käl</w:t>
      </w:r>
      <w:r w:rsidR="00D26B46">
        <w:t>l</w:t>
      </w:r>
      <w:r>
        <w:t xml:space="preserve">orna se de Blois 1999, 49-54 och en väl mager diskussion i </w:t>
      </w:r>
      <w:proofErr w:type="spellStart"/>
      <w:r>
        <w:t>Beduhn</w:t>
      </w:r>
      <w:proofErr w:type="spellEnd"/>
      <w:r>
        <w:t xml:space="preserve"> 2000, 145. </w:t>
      </w:r>
    </w:p>
  </w:footnote>
  <w:footnote w:id="48">
    <w:p w:rsidR="00906487" w:rsidRDefault="00906487" w:rsidP="00906487">
      <w:pPr>
        <w:pStyle w:val="Fotnotstext"/>
      </w:pPr>
      <w:r>
        <w:rPr>
          <w:rStyle w:val="Fotnotsreferens"/>
        </w:rPr>
        <w:footnoteRef/>
      </w:r>
      <w:r>
        <w:t xml:space="preserve"> De Blois 1999. </w:t>
      </w:r>
    </w:p>
  </w:footnote>
  <w:footnote w:id="49">
    <w:p w:rsidR="00693C31" w:rsidRDefault="00693C31">
      <w:pPr>
        <w:pStyle w:val="Fotnotstext"/>
      </w:pPr>
      <w:r>
        <w:rPr>
          <w:rStyle w:val="Fotnotsreferens"/>
        </w:rPr>
        <w:footnoteRef/>
      </w:r>
      <w:r>
        <w:t xml:space="preserve"> Det verkar som att </w:t>
      </w:r>
      <w:proofErr w:type="spellStart"/>
      <w:r>
        <w:t>Beduhn</w:t>
      </w:r>
      <w:proofErr w:type="spellEnd"/>
      <w:r>
        <w:t xml:space="preserve"> 2000, 145 och de Blois 1999 är i</w:t>
      </w:r>
      <w:r w:rsidR="00D26B46">
        <w:t>n</w:t>
      </w:r>
      <w:r>
        <w:t xml:space="preserve">ne på samma tanke, men de utvecklar inte resonemanget som jag dristar mig göra i det följande. </w:t>
      </w:r>
    </w:p>
  </w:footnote>
  <w:footnote w:id="50">
    <w:p w:rsidR="0012226F" w:rsidRDefault="0012226F">
      <w:pPr>
        <w:pStyle w:val="Fotnotstext"/>
      </w:pPr>
      <w:r>
        <w:rPr>
          <w:rStyle w:val="Fotnotsreferens"/>
        </w:rPr>
        <w:footnoteRef/>
      </w:r>
      <w:r w:rsidR="00570196">
        <w:t xml:space="preserve"> Se exemp</w:t>
      </w:r>
      <w:r>
        <w:t>elvis Gardner 1999, 138-141 särskilt 140 och 96-117 särskilt 107.</w:t>
      </w:r>
      <w:r w:rsidR="00C1793B">
        <w:t xml:space="preserve"> Gardner 1999, 73 avgränsar från cirka 355-380, men jag har för att </w:t>
      </w:r>
      <w:r w:rsidR="00DD65DA">
        <w:t>i</w:t>
      </w:r>
      <w:r w:rsidR="00C1793B">
        <w:t xml:space="preserve">nte pressa materialet för hårt nöjt mig med det år som vi vet att man övergav Kellis, </w:t>
      </w:r>
      <w:r w:rsidR="006C4D9B">
        <w:t xml:space="preserve">DVS. </w:t>
      </w:r>
      <w:r w:rsidR="00C1793B">
        <w:t xml:space="preserve">389. </w:t>
      </w:r>
      <w:r>
        <w:t xml:space="preserve"> </w:t>
      </w:r>
    </w:p>
  </w:footnote>
  <w:footnote w:id="51">
    <w:p w:rsidR="002B20A1" w:rsidRDefault="002B20A1">
      <w:pPr>
        <w:pStyle w:val="Fotnotstext"/>
      </w:pPr>
      <w:r>
        <w:rPr>
          <w:rStyle w:val="Fotnotsreferens"/>
        </w:rPr>
        <w:footnoteRef/>
      </w:r>
      <w:r>
        <w:t xml:space="preserve"> </w:t>
      </w:r>
      <w:proofErr w:type="spellStart"/>
      <w:r w:rsidR="00570196">
        <w:t>Bagnall</w:t>
      </w:r>
      <w:proofErr w:type="spellEnd"/>
      <w:r w:rsidR="00570196">
        <w:t xml:space="preserve"> 1997, 5-16 och </w:t>
      </w:r>
      <w:r>
        <w:t xml:space="preserve">Gardner 1999, 72. </w:t>
      </w:r>
    </w:p>
  </w:footnote>
  <w:footnote w:id="52">
    <w:p w:rsidR="004F399C" w:rsidRDefault="004F399C">
      <w:pPr>
        <w:pStyle w:val="Fotnotstext"/>
      </w:pPr>
      <w:r>
        <w:rPr>
          <w:rStyle w:val="Fotnotsreferens"/>
        </w:rPr>
        <w:footnoteRef/>
      </w:r>
      <w:r>
        <w:t xml:space="preserve"> </w:t>
      </w:r>
      <w:proofErr w:type="spellStart"/>
      <w:r>
        <w:t>Bagnall</w:t>
      </w:r>
      <w:proofErr w:type="spellEnd"/>
      <w:r>
        <w:t xml:space="preserve"> 1997, 5-16 och Gardner 1999, 72. </w:t>
      </w:r>
    </w:p>
  </w:footnote>
  <w:footnote w:id="53">
    <w:p w:rsidR="00032A52" w:rsidRDefault="00032A52">
      <w:pPr>
        <w:pStyle w:val="Fotnotstext"/>
      </w:pPr>
      <w:r>
        <w:rPr>
          <w:rStyle w:val="Fotnotsreferens"/>
        </w:rPr>
        <w:footnoteRef/>
      </w:r>
      <w:r>
        <w:t xml:space="preserve"> Gardner </w:t>
      </w:r>
      <w:r w:rsidR="00211278">
        <w:t xml:space="preserve">1999, </w:t>
      </w:r>
      <w:r w:rsidR="00B27022">
        <w:tab/>
      </w:r>
      <w:r>
        <w:t xml:space="preserve">73-74 med referens till Kell. </w:t>
      </w:r>
      <w:proofErr w:type="spellStart"/>
      <w:r>
        <w:t>Copt</w:t>
      </w:r>
      <w:proofErr w:type="spellEnd"/>
      <w:r>
        <w:t>. 31 och 32.</w:t>
      </w:r>
    </w:p>
  </w:footnote>
  <w:footnote w:id="54">
    <w:p w:rsidR="004938FD" w:rsidRDefault="004938FD">
      <w:pPr>
        <w:pStyle w:val="Fotnotstext"/>
      </w:pPr>
      <w:r>
        <w:rPr>
          <w:rStyle w:val="Fotnotsreferens"/>
        </w:rPr>
        <w:footnoteRef/>
      </w:r>
      <w:r>
        <w:t xml:space="preserve"> För en genomgång av terminologin i dokumenten se Gardner 1999, 73-75. </w:t>
      </w:r>
    </w:p>
  </w:footnote>
  <w:footnote w:id="55">
    <w:p w:rsidR="009806CF" w:rsidRDefault="009806CF">
      <w:pPr>
        <w:pStyle w:val="Fotnotstext"/>
      </w:pPr>
      <w:r>
        <w:rPr>
          <w:rStyle w:val="Fotnotsreferens"/>
        </w:rPr>
        <w:footnoteRef/>
      </w:r>
      <w:r>
        <w:t xml:space="preserve"> Gardner 1996. </w:t>
      </w:r>
    </w:p>
  </w:footnote>
  <w:footnote w:id="56">
    <w:p w:rsidR="005913E9" w:rsidRDefault="005913E9">
      <w:pPr>
        <w:pStyle w:val="Fotnotstext"/>
      </w:pPr>
      <w:r>
        <w:rPr>
          <w:rStyle w:val="Fotnotsreferens"/>
        </w:rPr>
        <w:footnoteRef/>
      </w:r>
      <w:r>
        <w:t xml:space="preserve"> Kell. </w:t>
      </w:r>
      <w:proofErr w:type="spellStart"/>
      <w:r>
        <w:t>Copt</w:t>
      </w:r>
      <w:proofErr w:type="spellEnd"/>
      <w:r>
        <w:t xml:space="preserve">. 19-29. </w:t>
      </w:r>
    </w:p>
  </w:footnote>
  <w:footnote w:id="57">
    <w:p w:rsidR="00783FBE" w:rsidRDefault="00783FBE">
      <w:pPr>
        <w:pStyle w:val="Fotnotstext"/>
      </w:pPr>
      <w:r>
        <w:rPr>
          <w:rStyle w:val="Fotnotsreferens"/>
        </w:rPr>
        <w:footnoteRef/>
      </w:r>
      <w:r>
        <w:t xml:space="preserve"> För en diskussion om Maria se Gardner 1999, 31-33. </w:t>
      </w:r>
    </w:p>
  </w:footnote>
  <w:footnote w:id="58">
    <w:p w:rsidR="00515711" w:rsidRDefault="00515711">
      <w:pPr>
        <w:pStyle w:val="Fotnotstext"/>
      </w:pPr>
      <w:r>
        <w:rPr>
          <w:rStyle w:val="Fotnotsreferens"/>
        </w:rPr>
        <w:footnoteRef/>
      </w:r>
      <w:r>
        <w:t xml:space="preserve"> Kell. </w:t>
      </w:r>
      <w:proofErr w:type="spellStart"/>
      <w:r>
        <w:t>Copt</w:t>
      </w:r>
      <w:proofErr w:type="spellEnd"/>
      <w:r>
        <w:t xml:space="preserve">. 20. </w:t>
      </w:r>
    </w:p>
  </w:footnote>
  <w:footnote w:id="59">
    <w:p w:rsidR="00840EA3" w:rsidRDefault="00840EA3">
      <w:pPr>
        <w:pStyle w:val="Fotnotstext"/>
      </w:pPr>
      <w:r>
        <w:rPr>
          <w:rStyle w:val="Fotnotsreferens"/>
        </w:rPr>
        <w:footnoteRef/>
      </w:r>
      <w:r>
        <w:t xml:space="preserve"> Exempelvis Kell. </w:t>
      </w:r>
      <w:proofErr w:type="spellStart"/>
      <w:r>
        <w:t>Copt</w:t>
      </w:r>
      <w:proofErr w:type="spellEnd"/>
      <w:r>
        <w:t>. 24, 25 och 29.</w:t>
      </w:r>
    </w:p>
  </w:footnote>
  <w:footnote w:id="60">
    <w:p w:rsidR="00670D58" w:rsidRPr="00AF0E2D" w:rsidRDefault="00670D58" w:rsidP="00AF0E2D">
      <w:pPr>
        <w:autoSpaceDE w:val="0"/>
        <w:autoSpaceDN w:val="0"/>
        <w:adjustRightInd w:val="0"/>
        <w:spacing w:after="0" w:line="240" w:lineRule="auto"/>
        <w:rPr>
          <w:rFonts w:cs="Courier New"/>
        </w:rPr>
      </w:pPr>
      <w:r>
        <w:rPr>
          <w:rStyle w:val="Fotnotsreferens"/>
        </w:rPr>
        <w:footnoteRef/>
      </w:r>
      <w:r>
        <w:t xml:space="preserve"> Gardner 1996, VI-X.</w:t>
      </w:r>
      <w:r w:rsidR="00AF0E2D">
        <w:t xml:space="preserve"> </w:t>
      </w:r>
      <w:r w:rsidR="00AF0E2D">
        <w:rPr>
          <w:rFonts w:cs="Courier New"/>
        </w:rPr>
        <w:t xml:space="preserve">Här vill jag i korthet nämna en aspekt som aldrig berörts, men som för mig ter sig intressant. Egypten förser oss ofta med de rikligaste arkeologiska fynden av skriftlig natur. Det beror på att ökenklimatet är mycket skonsamt för papyrus som lätt ruttnar i andra delar av </w:t>
      </w:r>
      <w:proofErr w:type="spellStart"/>
      <w:r w:rsidR="00AF0E2D">
        <w:rPr>
          <w:rFonts w:cs="Courier New"/>
        </w:rPr>
        <w:t>medelhavsvärlden</w:t>
      </w:r>
      <w:proofErr w:type="spellEnd"/>
      <w:r w:rsidR="00AF0E2D">
        <w:rPr>
          <w:rFonts w:cs="Courier New"/>
        </w:rPr>
        <w:t xml:space="preserve"> med fuktigare klimat. Merparten av de personliga breven är skrivna på grekiska som var det gängse kulturspråket från hellenistisk tid. Av dessa brev författas enbart 1 promille av kvinnor. Grekiskan var ett statustyngt språk med många konventioner. Man ville helt enkelt inte göra bort sig genom att skriva själv om man inte hade fått en gedigen utbildning. Visst finns det undantag som </w:t>
      </w:r>
      <w:proofErr w:type="spellStart"/>
      <w:r w:rsidR="00AF0E2D">
        <w:rPr>
          <w:rFonts w:cs="Courier New"/>
        </w:rPr>
        <w:t>Hypatia</w:t>
      </w:r>
      <w:proofErr w:type="spellEnd"/>
      <w:r w:rsidR="00AF0E2D">
        <w:rPr>
          <w:rFonts w:cs="Courier New"/>
        </w:rPr>
        <w:t xml:space="preserve"> av Alexandria, (</w:t>
      </w:r>
      <w:proofErr w:type="spellStart"/>
      <w:r w:rsidR="00AF0E2D">
        <w:rPr>
          <w:rFonts w:cs="Courier New"/>
        </w:rPr>
        <w:t>Dzielska</w:t>
      </w:r>
      <w:proofErr w:type="spellEnd"/>
      <w:r w:rsidR="00AF0E2D">
        <w:rPr>
          <w:rFonts w:cs="Courier New"/>
        </w:rPr>
        <w:t xml:space="preserve"> 1995), men i allmänhet var denna utbildning få kvinnor förunnad. Det gjorde att kvinnor och män utan högre utbildning ofta använde professionella skrivare. I Kellis har vi gott om text där ovanare händer skrivit och antalet kvi</w:t>
      </w:r>
      <w:r w:rsidR="00D26B46">
        <w:rPr>
          <w:rFonts w:cs="Courier New"/>
        </w:rPr>
        <w:t>n</w:t>
      </w:r>
      <w:r w:rsidR="00AF0E2D">
        <w:rPr>
          <w:rFonts w:cs="Courier New"/>
        </w:rPr>
        <w:t xml:space="preserve">nliga brevförfattare är cirka 20 %! Det kan dels bero på manikéernas iver att kopiera texter, men även på att det nya koptiska skrivsättet var mindre statustyngt än grekiskan och öppnare för användning av bredare grupper. För den intresserade rekommenderar jag </w:t>
      </w:r>
      <w:r w:rsidR="001B7F02">
        <w:rPr>
          <w:rFonts w:cs="Courier New"/>
        </w:rPr>
        <w:t xml:space="preserve">Rowlandson 1998 och </w:t>
      </w:r>
      <w:proofErr w:type="spellStart"/>
      <w:r w:rsidR="001B7F02">
        <w:rPr>
          <w:rFonts w:cs="Courier New"/>
        </w:rPr>
        <w:t>Cribiore</w:t>
      </w:r>
      <w:proofErr w:type="spellEnd"/>
      <w:r w:rsidR="001B7F02">
        <w:rPr>
          <w:rFonts w:cs="Courier New"/>
        </w:rPr>
        <w:t xml:space="preserve"> 2001. </w:t>
      </w:r>
      <w:r>
        <w:t xml:space="preserve"> </w:t>
      </w:r>
    </w:p>
  </w:footnote>
  <w:footnote w:id="61">
    <w:p w:rsidR="00670D58" w:rsidRDefault="00670D58">
      <w:pPr>
        <w:pStyle w:val="Fotnotstext"/>
      </w:pPr>
      <w:r>
        <w:rPr>
          <w:rStyle w:val="Fotnotsreferens"/>
        </w:rPr>
        <w:footnoteRef/>
      </w:r>
      <w:r>
        <w:t xml:space="preserve"> Gardner 1999, 74. </w:t>
      </w:r>
    </w:p>
  </w:footnote>
  <w:footnote w:id="62">
    <w:p w:rsidR="002025C6" w:rsidRDefault="002025C6">
      <w:pPr>
        <w:pStyle w:val="Fotnotstext"/>
      </w:pPr>
      <w:r>
        <w:rPr>
          <w:rStyle w:val="Fotnotsreferens"/>
        </w:rPr>
        <w:footnoteRef/>
      </w:r>
      <w:r>
        <w:t xml:space="preserve"> Se exempelvis </w:t>
      </w:r>
      <w:proofErr w:type="spellStart"/>
      <w:r>
        <w:t>Klinghardt</w:t>
      </w:r>
      <w:proofErr w:type="spellEnd"/>
      <w:r>
        <w:t xml:space="preserve"> 1996, Smith 2003 och </w:t>
      </w:r>
      <w:proofErr w:type="spellStart"/>
      <w:r w:rsidR="00783717">
        <w:t>Taussig</w:t>
      </w:r>
      <w:proofErr w:type="spellEnd"/>
      <w:r>
        <w:t xml:space="preserve"> 2009. </w:t>
      </w:r>
    </w:p>
  </w:footnote>
  <w:footnote w:id="63">
    <w:p w:rsidR="001A1928" w:rsidRDefault="001A1928">
      <w:pPr>
        <w:pStyle w:val="Fotnotstext"/>
      </w:pPr>
      <w:r>
        <w:rPr>
          <w:rStyle w:val="Fotnotsreferens"/>
        </w:rPr>
        <w:footnoteRef/>
      </w:r>
      <w:r>
        <w:t xml:space="preserve"> </w:t>
      </w:r>
      <w:proofErr w:type="spellStart"/>
      <w:r>
        <w:t>Bagnall</w:t>
      </w:r>
      <w:proofErr w:type="spellEnd"/>
      <w:r>
        <w:t xml:space="preserve"> 1997. </w:t>
      </w:r>
    </w:p>
  </w:footnote>
  <w:footnote w:id="64">
    <w:p w:rsidR="004C3C5D" w:rsidRDefault="004C3C5D">
      <w:pPr>
        <w:pStyle w:val="Fotnotstext"/>
      </w:pPr>
      <w:r>
        <w:rPr>
          <w:rStyle w:val="Fotnotsreferens"/>
        </w:rPr>
        <w:footnoteRef/>
      </w:r>
      <w:r>
        <w:t xml:space="preserve"> </w:t>
      </w:r>
      <w:proofErr w:type="spellStart"/>
      <w:r>
        <w:t>Bagnall</w:t>
      </w:r>
      <w:proofErr w:type="spellEnd"/>
      <w:r>
        <w:t xml:space="preserve"> 1997, 76-80, särskilt 80. </w:t>
      </w:r>
    </w:p>
  </w:footnote>
  <w:footnote w:id="65">
    <w:p w:rsidR="00187BE5" w:rsidRDefault="00187BE5">
      <w:pPr>
        <w:pStyle w:val="Fotnotstext"/>
      </w:pPr>
      <w:r>
        <w:rPr>
          <w:rStyle w:val="Fotnotsreferens"/>
        </w:rPr>
        <w:footnoteRef/>
      </w:r>
      <w:r>
        <w:t xml:space="preserve"> Se </w:t>
      </w:r>
      <w:proofErr w:type="spellStart"/>
      <w:r>
        <w:t>Bagnall</w:t>
      </w:r>
      <w:proofErr w:type="spellEnd"/>
      <w:r>
        <w:t xml:space="preserve"> 1997, 81 för referenser.</w:t>
      </w:r>
    </w:p>
  </w:footnote>
  <w:footnote w:id="66">
    <w:p w:rsidR="002B579F" w:rsidRDefault="002B579F">
      <w:pPr>
        <w:pStyle w:val="Fotnotstext"/>
      </w:pPr>
      <w:r>
        <w:rPr>
          <w:rStyle w:val="Fotnotsreferens"/>
        </w:rPr>
        <w:footnoteRef/>
      </w:r>
      <w:r>
        <w:t xml:space="preserve"> </w:t>
      </w:r>
      <w:proofErr w:type="spellStart"/>
      <w:r>
        <w:t>Bagnall</w:t>
      </w:r>
      <w:proofErr w:type="spellEnd"/>
      <w:r>
        <w:t xml:space="preserve"> 1997, 82. </w:t>
      </w:r>
    </w:p>
  </w:footnote>
  <w:footnote w:id="67">
    <w:p w:rsidR="00330218" w:rsidRDefault="00330218">
      <w:pPr>
        <w:pStyle w:val="Fotnotstext"/>
      </w:pPr>
      <w:r>
        <w:rPr>
          <w:rStyle w:val="Fotnotsreferens"/>
        </w:rPr>
        <w:footnoteRef/>
      </w:r>
      <w:r>
        <w:t xml:space="preserve"> </w:t>
      </w:r>
      <w:proofErr w:type="spellStart"/>
      <w:r>
        <w:t>Bagnall</w:t>
      </w:r>
      <w:proofErr w:type="spellEnd"/>
      <w:r>
        <w:t xml:space="preserve"> 1997, 82. </w:t>
      </w:r>
    </w:p>
  </w:footnote>
  <w:footnote w:id="68">
    <w:p w:rsidR="00DB0E83" w:rsidRDefault="00DB0E83">
      <w:pPr>
        <w:pStyle w:val="Fotnotstext"/>
      </w:pPr>
      <w:r w:rsidRPr="00DB0E83">
        <w:rPr>
          <w:rStyle w:val="Fotnotsreferens"/>
          <w:i/>
        </w:rPr>
        <w:footnoteRef/>
      </w:r>
      <w:r w:rsidRPr="00DB0E83">
        <w:rPr>
          <w:i/>
        </w:rPr>
        <w:t xml:space="preserve"> </w:t>
      </w:r>
      <w:proofErr w:type="spellStart"/>
      <w:r w:rsidRPr="00DB0E83">
        <w:rPr>
          <w:i/>
        </w:rPr>
        <w:t>Netti</w:t>
      </w:r>
      <w:proofErr w:type="spellEnd"/>
      <w:r w:rsidRPr="00DB0E83">
        <w:rPr>
          <w:i/>
        </w:rPr>
        <w:t xml:space="preserve"> </w:t>
      </w:r>
      <w:proofErr w:type="spellStart"/>
      <w:r w:rsidRPr="00DB0E83">
        <w:rPr>
          <w:i/>
        </w:rPr>
        <w:t>mtan</w:t>
      </w:r>
      <w:proofErr w:type="spellEnd"/>
      <w:r w:rsidRPr="00DB0E83">
        <w:rPr>
          <w:i/>
        </w:rPr>
        <w:t xml:space="preserve"> </w:t>
      </w:r>
      <w:r>
        <w:t xml:space="preserve">rad 28. </w:t>
      </w:r>
    </w:p>
  </w:footnote>
  <w:footnote w:id="69">
    <w:p w:rsidR="00DB0E83" w:rsidRDefault="00DB0E83">
      <w:pPr>
        <w:pStyle w:val="Fotnotstext"/>
      </w:pPr>
      <w:r>
        <w:rPr>
          <w:rStyle w:val="Fotnotsreferens"/>
        </w:rPr>
        <w:footnoteRef/>
      </w:r>
      <w:r>
        <w:t xml:space="preserve"> </w:t>
      </w:r>
      <w:proofErr w:type="spellStart"/>
      <w:r w:rsidRPr="00DB0E83">
        <w:rPr>
          <w:i/>
        </w:rPr>
        <w:t>Neklektos</w:t>
      </w:r>
      <w:proofErr w:type="spellEnd"/>
      <w:r w:rsidRPr="00DB0E83">
        <w:rPr>
          <w:i/>
        </w:rPr>
        <w:t xml:space="preserve"> </w:t>
      </w:r>
      <w:r>
        <w:t>rad 28-29.</w:t>
      </w:r>
    </w:p>
  </w:footnote>
  <w:footnote w:id="70">
    <w:p w:rsidR="005C657E" w:rsidRDefault="005C657E">
      <w:pPr>
        <w:pStyle w:val="Fotnotstext"/>
      </w:pPr>
      <w:r>
        <w:rPr>
          <w:rStyle w:val="Fotnotsreferens"/>
        </w:rPr>
        <w:footnoteRef/>
      </w:r>
      <w:r>
        <w:t xml:space="preserve"> </w:t>
      </w:r>
      <w:proofErr w:type="spellStart"/>
      <w:r w:rsidRPr="005C657E">
        <w:rPr>
          <w:i/>
        </w:rPr>
        <w:t>nkathekoumenos</w:t>
      </w:r>
      <w:proofErr w:type="spellEnd"/>
      <w:r w:rsidRPr="005C657E">
        <w:rPr>
          <w:i/>
        </w:rPr>
        <w:t xml:space="preserve"> </w:t>
      </w:r>
      <w:r>
        <w:t xml:space="preserve">rad 29. </w:t>
      </w:r>
    </w:p>
  </w:footnote>
  <w:footnote w:id="71">
    <w:p w:rsidR="00FF3DF4" w:rsidRDefault="00FF3DF4">
      <w:pPr>
        <w:pStyle w:val="Fotnotstext"/>
      </w:pPr>
      <w:r>
        <w:rPr>
          <w:rStyle w:val="Fotnotsreferens"/>
        </w:rPr>
        <w:footnoteRef/>
      </w:r>
      <w:r>
        <w:t xml:space="preserve"> </w:t>
      </w:r>
      <w:proofErr w:type="spellStart"/>
      <w:r w:rsidRPr="00FF3DF4">
        <w:rPr>
          <w:i/>
        </w:rPr>
        <w:t>pmelos</w:t>
      </w:r>
      <w:proofErr w:type="spellEnd"/>
      <w:r w:rsidRPr="00FF3DF4">
        <w:rPr>
          <w:i/>
        </w:rPr>
        <w:t xml:space="preserve"> </w:t>
      </w:r>
      <w:proofErr w:type="spellStart"/>
      <w:r w:rsidRPr="00FF3DF4">
        <w:rPr>
          <w:i/>
        </w:rPr>
        <w:t>etanit</w:t>
      </w:r>
      <w:proofErr w:type="spellEnd"/>
      <w:r w:rsidRPr="00FF3DF4">
        <w:rPr>
          <w:i/>
        </w:rPr>
        <w:t xml:space="preserve"> </w:t>
      </w:r>
      <w:proofErr w:type="spellStart"/>
      <w:r w:rsidRPr="00FF3DF4">
        <w:rPr>
          <w:i/>
        </w:rPr>
        <w:t>mpnous</w:t>
      </w:r>
      <w:proofErr w:type="spellEnd"/>
      <w:r w:rsidRPr="00FF3DF4">
        <w:rPr>
          <w:i/>
        </w:rPr>
        <w:t xml:space="preserve"> </w:t>
      </w:r>
      <w:r>
        <w:t xml:space="preserve">rad 3. </w:t>
      </w:r>
    </w:p>
  </w:footnote>
  <w:footnote w:id="72">
    <w:p w:rsidR="002F5E45" w:rsidRDefault="002F5E45">
      <w:pPr>
        <w:pStyle w:val="Fotnotstext"/>
      </w:pPr>
      <w:r>
        <w:rPr>
          <w:rStyle w:val="Fotnotsreferens"/>
        </w:rPr>
        <w:footnoteRef/>
      </w:r>
      <w:r>
        <w:t xml:space="preserve"> </w:t>
      </w:r>
      <w:proofErr w:type="spellStart"/>
      <w:r>
        <w:t>Agon</w:t>
      </w:r>
      <w:proofErr w:type="spellEnd"/>
      <w:r>
        <w:t xml:space="preserve"> är ett tidigare obekant mått som vi möter i Kellisdokumenten. Det verkar användas om vätskor, men mer exakthet än så är det svårt att nå för tillfället. Formuleringen är egentligen ”Måttet </w:t>
      </w:r>
      <w:proofErr w:type="spellStart"/>
      <w:r>
        <w:t>agon</w:t>
      </w:r>
      <w:proofErr w:type="spellEnd"/>
      <w:r>
        <w:t xml:space="preserve">” men jag har formulerat det på mer idiomatisk svenska och på så sätt även försökt att fånga in den koptiska funktionen snarare än bokstaven. </w:t>
      </w:r>
    </w:p>
  </w:footnote>
  <w:footnote w:id="73">
    <w:p w:rsidR="00EC5FC7" w:rsidRDefault="00EC5FC7">
      <w:pPr>
        <w:pStyle w:val="Fotnotstext"/>
      </w:pPr>
      <w:r>
        <w:rPr>
          <w:rStyle w:val="Fotnotsreferens"/>
        </w:rPr>
        <w:footnoteRef/>
      </w:r>
      <w:r>
        <w:t xml:space="preserve"> I Kellisdokumenten är det klokt att inte lättvindigt tolka ord som far, mor, bror, syster, son eller dotter som säkra släktrelationer. De kan även vittna om en vidare hierarkisk relation. </w:t>
      </w:r>
      <w:proofErr w:type="spellStart"/>
      <w:r>
        <w:t>Raz</w:t>
      </w:r>
      <w:proofErr w:type="spellEnd"/>
      <w:r>
        <w:t xml:space="preserve"> är ur den synvinkeln underställd brevets avsändare </w:t>
      </w:r>
      <w:proofErr w:type="spellStart"/>
      <w:r w:rsidRPr="00EC5FC7">
        <w:t>Horion</w:t>
      </w:r>
      <w:proofErr w:type="spellEnd"/>
      <w:r>
        <w:t xml:space="preserve"> och dess mottagare Hor. </w:t>
      </w:r>
    </w:p>
  </w:footnote>
  <w:footnote w:id="74">
    <w:p w:rsidR="00276A81" w:rsidRDefault="00276A81">
      <w:pPr>
        <w:pStyle w:val="Fotnotstext"/>
      </w:pPr>
      <w:r>
        <w:rPr>
          <w:rStyle w:val="Fotnotsreferens"/>
        </w:rPr>
        <w:footnoteRef/>
      </w:r>
      <w:r>
        <w:t xml:space="preserve"> </w:t>
      </w:r>
      <w:proofErr w:type="spellStart"/>
      <w:proofErr w:type="gramStart"/>
      <w:r w:rsidRPr="002B00CA">
        <w:rPr>
          <w:i/>
        </w:rPr>
        <w:t>eis</w:t>
      </w:r>
      <w:proofErr w:type="spellEnd"/>
      <w:r w:rsidRPr="002B00CA">
        <w:rPr>
          <w:i/>
        </w:rPr>
        <w:t xml:space="preserve"> </w:t>
      </w:r>
      <w:r>
        <w:t xml:space="preserve">eller </w:t>
      </w:r>
      <w:proofErr w:type="spellStart"/>
      <w:r w:rsidRPr="002B00CA">
        <w:rPr>
          <w:i/>
        </w:rPr>
        <w:t>eiste</w:t>
      </w:r>
      <w:proofErr w:type="spellEnd"/>
      <w:r w:rsidRPr="002B00CA">
        <w:rPr>
          <w:i/>
        </w:rPr>
        <w:t xml:space="preserve"> </w:t>
      </w:r>
      <w:r>
        <w:t>som förekommer några rader ned fungerar emfatiskt.</w:t>
      </w:r>
      <w:proofErr w:type="gramEnd"/>
      <w:r>
        <w:t xml:space="preserve"> Vi skulle kunna översätta med ”lägg märke till” eller ”se”, men den ekonomiskt präglade kontexten gör att jag valt ”notera”. </w:t>
      </w:r>
    </w:p>
  </w:footnote>
  <w:footnote w:id="75">
    <w:p w:rsidR="001E1CBD" w:rsidRDefault="001E1CBD">
      <w:pPr>
        <w:pStyle w:val="Fotnotstext"/>
      </w:pPr>
      <w:r>
        <w:rPr>
          <w:rStyle w:val="Fotnotsreferens"/>
        </w:rPr>
        <w:footnoteRef/>
      </w:r>
      <w:r>
        <w:t xml:space="preserve"> </w:t>
      </w:r>
      <w:r w:rsidRPr="001E1CBD">
        <w:rPr>
          <w:i/>
        </w:rPr>
        <w:t xml:space="preserve">Maje </w:t>
      </w:r>
      <w:r>
        <w:t xml:space="preserve">är </w:t>
      </w:r>
      <w:r w:rsidR="00141C69">
        <w:t xml:space="preserve">det mått som vi på grekiska känner som </w:t>
      </w:r>
      <w:proofErr w:type="spellStart"/>
      <w:r w:rsidR="00141C69">
        <w:t>mation</w:t>
      </w:r>
      <w:proofErr w:type="spellEnd"/>
      <w:r w:rsidR="00141C69">
        <w:t>. För diskussion om omfång se brödtexten</w:t>
      </w:r>
      <w:r w:rsidR="0087463D">
        <w:t xml:space="preserve"> och </w:t>
      </w:r>
      <w:proofErr w:type="spellStart"/>
      <w:r w:rsidR="0087463D">
        <w:t>Bagnall</w:t>
      </w:r>
      <w:proofErr w:type="spellEnd"/>
      <w:r w:rsidR="0087463D">
        <w:t xml:space="preserve"> 1997, 47-48.</w:t>
      </w:r>
    </w:p>
  </w:footnote>
  <w:footnote w:id="76">
    <w:p w:rsidR="00BB00B3" w:rsidRDefault="00BB00B3">
      <w:pPr>
        <w:pStyle w:val="Fotnotstext"/>
      </w:pPr>
      <w:r>
        <w:rPr>
          <w:rStyle w:val="Fotnotsreferens"/>
        </w:rPr>
        <w:footnoteRef/>
      </w:r>
      <w:r>
        <w:t xml:space="preserve"> Rymdmått. En </w:t>
      </w:r>
      <w:proofErr w:type="spellStart"/>
      <w:r>
        <w:t>artaba</w:t>
      </w:r>
      <w:proofErr w:type="spellEnd"/>
      <w:r>
        <w:t xml:space="preserve"> rymde 38,78 liter vete och vägde drygt 30 KG, </w:t>
      </w:r>
      <w:proofErr w:type="spellStart"/>
      <w:r>
        <w:t>Bagnall</w:t>
      </w:r>
      <w:proofErr w:type="spellEnd"/>
      <w:r>
        <w:t xml:space="preserve"> 1997, 47-48.</w:t>
      </w:r>
    </w:p>
  </w:footnote>
  <w:footnote w:id="77">
    <w:p w:rsidR="00BB00B3" w:rsidRDefault="00BB00B3">
      <w:pPr>
        <w:pStyle w:val="Fotnotstext"/>
      </w:pPr>
      <w:r>
        <w:rPr>
          <w:rStyle w:val="Fotnotsreferens"/>
        </w:rPr>
        <w:footnoteRef/>
      </w:r>
      <w:r>
        <w:t xml:space="preserve"> Nummi var ett kopparmynt som här verkar vara värt drygt en talent, se diskussion i brödtexten.</w:t>
      </w:r>
    </w:p>
  </w:footnote>
  <w:footnote w:id="78">
    <w:p w:rsidR="004F5D36" w:rsidRDefault="004F5D36">
      <w:pPr>
        <w:pStyle w:val="Fotnotstext"/>
      </w:pPr>
      <w:r>
        <w:rPr>
          <w:rStyle w:val="Fotnotsreferens"/>
        </w:rPr>
        <w:footnoteRef/>
      </w:r>
      <w:r>
        <w:t xml:space="preserve"> </w:t>
      </w:r>
      <w:proofErr w:type="spellStart"/>
      <w:proofErr w:type="gramStart"/>
      <w:r w:rsidRPr="004F5D36">
        <w:rPr>
          <w:i/>
        </w:rPr>
        <w:t>jilche</w:t>
      </w:r>
      <w:proofErr w:type="spellEnd"/>
      <w:r w:rsidRPr="004F5D36">
        <w:rPr>
          <w:i/>
        </w:rPr>
        <w:t xml:space="preserve"> </w:t>
      </w:r>
      <w:r>
        <w:t>är ett tidigare okänt begrepp.</w:t>
      </w:r>
      <w:proofErr w:type="gramEnd"/>
      <w:r>
        <w:t xml:space="preserve"> Det verkar vara en behållare, kanske gjord av tyg, </w:t>
      </w:r>
      <w:proofErr w:type="gramStart"/>
      <w:r>
        <w:t>därav</w:t>
      </w:r>
      <w:proofErr w:type="gramEnd"/>
      <w:r>
        <w:t xml:space="preserve"> min mycket tentativa översättning ”säck”. För referenser se Gardner</w:t>
      </w:r>
      <w:proofErr w:type="gramStart"/>
      <w:r>
        <w:t xml:space="preserve"> §999</w:t>
      </w:r>
      <w:proofErr w:type="gramEnd"/>
      <w:r>
        <w:t>, 309.</w:t>
      </w:r>
    </w:p>
  </w:footnote>
  <w:footnote w:id="79">
    <w:p w:rsidR="002E0606" w:rsidRDefault="002E0606">
      <w:pPr>
        <w:pStyle w:val="Fotnotstext"/>
      </w:pPr>
      <w:r>
        <w:rPr>
          <w:rStyle w:val="Fotnotsreferens"/>
        </w:rPr>
        <w:footnoteRef/>
      </w:r>
      <w:r>
        <w:t xml:space="preserve"> Kell. </w:t>
      </w:r>
      <w:proofErr w:type="spellStart"/>
      <w:r>
        <w:t>Copt</w:t>
      </w:r>
      <w:proofErr w:type="spellEnd"/>
      <w:r>
        <w:t xml:space="preserve">. 15 rad 14-27. </w:t>
      </w:r>
    </w:p>
  </w:footnote>
  <w:footnote w:id="80">
    <w:p w:rsidR="009613BA" w:rsidRDefault="009613BA">
      <w:pPr>
        <w:pStyle w:val="Fotnotstext"/>
      </w:pPr>
      <w:r>
        <w:rPr>
          <w:rStyle w:val="Fotnotsreferens"/>
        </w:rPr>
        <w:footnoteRef/>
      </w:r>
      <w:r>
        <w:t xml:space="preserve">Gardner 1999, 59. För mer detaljerad diskussion angående priser se </w:t>
      </w:r>
      <w:proofErr w:type="spellStart"/>
      <w:r>
        <w:t>Bagnall</w:t>
      </w:r>
      <w:proofErr w:type="spellEnd"/>
      <w:r>
        <w:t xml:space="preserve"> 1985 samt preciseringar i </w:t>
      </w:r>
      <w:proofErr w:type="spellStart"/>
      <w:r>
        <w:t>Bagnall</w:t>
      </w:r>
      <w:proofErr w:type="spellEnd"/>
      <w:r>
        <w:t xml:space="preserve"> 1997. </w:t>
      </w:r>
    </w:p>
  </w:footnote>
  <w:footnote w:id="81">
    <w:p w:rsidR="00AF117D" w:rsidRDefault="00AF117D">
      <w:pPr>
        <w:pStyle w:val="Fotnotstext"/>
      </w:pPr>
      <w:r>
        <w:rPr>
          <w:rStyle w:val="Fotnotsreferens"/>
        </w:rPr>
        <w:footnoteRef/>
      </w:r>
      <w:r>
        <w:t xml:space="preserve"> </w:t>
      </w:r>
      <w:proofErr w:type="spellStart"/>
      <w:r>
        <w:t>Bagnall</w:t>
      </w:r>
      <w:proofErr w:type="spellEnd"/>
      <w:r>
        <w:t xml:space="preserve"> 1997, 47-48. </w:t>
      </w:r>
    </w:p>
  </w:footnote>
  <w:footnote w:id="82">
    <w:p w:rsidR="002841EA" w:rsidRDefault="002841EA">
      <w:pPr>
        <w:pStyle w:val="Fotnotstext"/>
      </w:pPr>
      <w:r>
        <w:rPr>
          <w:rStyle w:val="Fotnotsreferens"/>
        </w:rPr>
        <w:footnoteRef/>
      </w:r>
      <w:r>
        <w:t xml:space="preserve"> Gardner 1999, 77.</w:t>
      </w:r>
    </w:p>
  </w:footnote>
  <w:footnote w:id="83">
    <w:p w:rsidR="008A336D" w:rsidRDefault="008A336D">
      <w:pPr>
        <w:pStyle w:val="Fotnotstext"/>
      </w:pPr>
      <w:r>
        <w:rPr>
          <w:rStyle w:val="Fotnotsreferens"/>
        </w:rPr>
        <w:footnoteRef/>
      </w:r>
      <w:r>
        <w:t xml:space="preserve"> </w:t>
      </w:r>
      <w:proofErr w:type="spellStart"/>
      <w:r w:rsidRPr="008A336D">
        <w:rPr>
          <w:i/>
        </w:rPr>
        <w:t>paskha</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9D"/>
    <w:rsid w:val="00002D3D"/>
    <w:rsid w:val="0000377C"/>
    <w:rsid w:val="00007EE5"/>
    <w:rsid w:val="000219E0"/>
    <w:rsid w:val="00022640"/>
    <w:rsid w:val="00023692"/>
    <w:rsid w:val="0002431B"/>
    <w:rsid w:val="000247B3"/>
    <w:rsid w:val="00024925"/>
    <w:rsid w:val="00024EFF"/>
    <w:rsid w:val="00032A52"/>
    <w:rsid w:val="00037826"/>
    <w:rsid w:val="0004012C"/>
    <w:rsid w:val="00040953"/>
    <w:rsid w:val="00046B6B"/>
    <w:rsid w:val="000520F8"/>
    <w:rsid w:val="00052655"/>
    <w:rsid w:val="00052F0D"/>
    <w:rsid w:val="0006062F"/>
    <w:rsid w:val="00062B5C"/>
    <w:rsid w:val="00062C83"/>
    <w:rsid w:val="00065475"/>
    <w:rsid w:val="00072B27"/>
    <w:rsid w:val="00075377"/>
    <w:rsid w:val="00075F61"/>
    <w:rsid w:val="00076145"/>
    <w:rsid w:val="000777E9"/>
    <w:rsid w:val="00077DA3"/>
    <w:rsid w:val="00083D16"/>
    <w:rsid w:val="00084D37"/>
    <w:rsid w:val="0009411D"/>
    <w:rsid w:val="00097102"/>
    <w:rsid w:val="00097EC9"/>
    <w:rsid w:val="000A1DDB"/>
    <w:rsid w:val="000A3345"/>
    <w:rsid w:val="000A422E"/>
    <w:rsid w:val="000B03D5"/>
    <w:rsid w:val="000B1971"/>
    <w:rsid w:val="000B1FA7"/>
    <w:rsid w:val="000B2143"/>
    <w:rsid w:val="000B2974"/>
    <w:rsid w:val="000B3E57"/>
    <w:rsid w:val="000B71CC"/>
    <w:rsid w:val="000B7714"/>
    <w:rsid w:val="000B7A80"/>
    <w:rsid w:val="000D01D6"/>
    <w:rsid w:val="000D3888"/>
    <w:rsid w:val="000D409B"/>
    <w:rsid w:val="000D6729"/>
    <w:rsid w:val="000E3380"/>
    <w:rsid w:val="000E3AD2"/>
    <w:rsid w:val="000E4EB6"/>
    <w:rsid w:val="000F15CB"/>
    <w:rsid w:val="000F453C"/>
    <w:rsid w:val="000F5880"/>
    <w:rsid w:val="000F6B2F"/>
    <w:rsid w:val="000F6BC7"/>
    <w:rsid w:val="00102EFC"/>
    <w:rsid w:val="00105F8E"/>
    <w:rsid w:val="00110954"/>
    <w:rsid w:val="00116048"/>
    <w:rsid w:val="00117210"/>
    <w:rsid w:val="001213E8"/>
    <w:rsid w:val="0012226F"/>
    <w:rsid w:val="001249E7"/>
    <w:rsid w:val="00125F56"/>
    <w:rsid w:val="00126A72"/>
    <w:rsid w:val="0013537D"/>
    <w:rsid w:val="0013552C"/>
    <w:rsid w:val="00141C69"/>
    <w:rsid w:val="001426AD"/>
    <w:rsid w:val="00143E84"/>
    <w:rsid w:val="001455FB"/>
    <w:rsid w:val="00151828"/>
    <w:rsid w:val="00153FD6"/>
    <w:rsid w:val="00154E4C"/>
    <w:rsid w:val="001570D3"/>
    <w:rsid w:val="00161110"/>
    <w:rsid w:val="001611FC"/>
    <w:rsid w:val="00163A46"/>
    <w:rsid w:val="00166B20"/>
    <w:rsid w:val="00172522"/>
    <w:rsid w:val="001742F9"/>
    <w:rsid w:val="00175E6D"/>
    <w:rsid w:val="00176035"/>
    <w:rsid w:val="001773F8"/>
    <w:rsid w:val="0018239E"/>
    <w:rsid w:val="0018345A"/>
    <w:rsid w:val="00187182"/>
    <w:rsid w:val="00187BE5"/>
    <w:rsid w:val="00190060"/>
    <w:rsid w:val="00196A0C"/>
    <w:rsid w:val="001A0FCC"/>
    <w:rsid w:val="001A1928"/>
    <w:rsid w:val="001A29DF"/>
    <w:rsid w:val="001A40F0"/>
    <w:rsid w:val="001A5632"/>
    <w:rsid w:val="001A7EB1"/>
    <w:rsid w:val="001B1E4E"/>
    <w:rsid w:val="001B4A99"/>
    <w:rsid w:val="001B4FC3"/>
    <w:rsid w:val="001B6317"/>
    <w:rsid w:val="001B7F02"/>
    <w:rsid w:val="001C10D6"/>
    <w:rsid w:val="001C3AD2"/>
    <w:rsid w:val="001C5A1A"/>
    <w:rsid w:val="001C6ACD"/>
    <w:rsid w:val="001C7EF5"/>
    <w:rsid w:val="001D0CEC"/>
    <w:rsid w:val="001D1B22"/>
    <w:rsid w:val="001D30C8"/>
    <w:rsid w:val="001D45A1"/>
    <w:rsid w:val="001E15F1"/>
    <w:rsid w:val="001E1CBD"/>
    <w:rsid w:val="001E27B0"/>
    <w:rsid w:val="001E7CC6"/>
    <w:rsid w:val="001F6503"/>
    <w:rsid w:val="001F6523"/>
    <w:rsid w:val="00201331"/>
    <w:rsid w:val="002025C6"/>
    <w:rsid w:val="00203541"/>
    <w:rsid w:val="00204D76"/>
    <w:rsid w:val="00211278"/>
    <w:rsid w:val="00212BE1"/>
    <w:rsid w:val="00213C2E"/>
    <w:rsid w:val="002158DF"/>
    <w:rsid w:val="00231130"/>
    <w:rsid w:val="00234D0B"/>
    <w:rsid w:val="00235115"/>
    <w:rsid w:val="00236A5B"/>
    <w:rsid w:val="00237CF5"/>
    <w:rsid w:val="00251C6E"/>
    <w:rsid w:val="00251F51"/>
    <w:rsid w:val="00254FCD"/>
    <w:rsid w:val="002552BE"/>
    <w:rsid w:val="002554AF"/>
    <w:rsid w:val="002673E9"/>
    <w:rsid w:val="00270F42"/>
    <w:rsid w:val="002727EA"/>
    <w:rsid w:val="002730D1"/>
    <w:rsid w:val="00275C2B"/>
    <w:rsid w:val="00276A81"/>
    <w:rsid w:val="00277579"/>
    <w:rsid w:val="00281351"/>
    <w:rsid w:val="002822A0"/>
    <w:rsid w:val="002841EA"/>
    <w:rsid w:val="00284B98"/>
    <w:rsid w:val="00286173"/>
    <w:rsid w:val="002866C0"/>
    <w:rsid w:val="00290AB1"/>
    <w:rsid w:val="00294219"/>
    <w:rsid w:val="00296162"/>
    <w:rsid w:val="002A097A"/>
    <w:rsid w:val="002A3207"/>
    <w:rsid w:val="002A44A2"/>
    <w:rsid w:val="002A476B"/>
    <w:rsid w:val="002B00CA"/>
    <w:rsid w:val="002B20A1"/>
    <w:rsid w:val="002B21D5"/>
    <w:rsid w:val="002B4BCC"/>
    <w:rsid w:val="002B579F"/>
    <w:rsid w:val="002B5ACD"/>
    <w:rsid w:val="002B673D"/>
    <w:rsid w:val="002B6AF8"/>
    <w:rsid w:val="002B7B48"/>
    <w:rsid w:val="002C0573"/>
    <w:rsid w:val="002C119D"/>
    <w:rsid w:val="002C4F08"/>
    <w:rsid w:val="002C548B"/>
    <w:rsid w:val="002C56D8"/>
    <w:rsid w:val="002D5A05"/>
    <w:rsid w:val="002D5B4E"/>
    <w:rsid w:val="002D60B0"/>
    <w:rsid w:val="002D67B9"/>
    <w:rsid w:val="002E0606"/>
    <w:rsid w:val="002E0BC9"/>
    <w:rsid w:val="002E0FDA"/>
    <w:rsid w:val="002E12E5"/>
    <w:rsid w:val="002E28E2"/>
    <w:rsid w:val="002E5CA3"/>
    <w:rsid w:val="002F5E45"/>
    <w:rsid w:val="002F67F4"/>
    <w:rsid w:val="0030136D"/>
    <w:rsid w:val="003037FD"/>
    <w:rsid w:val="00307358"/>
    <w:rsid w:val="00310D40"/>
    <w:rsid w:val="00312C27"/>
    <w:rsid w:val="00314BFD"/>
    <w:rsid w:val="003164ED"/>
    <w:rsid w:val="00321578"/>
    <w:rsid w:val="00322F56"/>
    <w:rsid w:val="00325BF7"/>
    <w:rsid w:val="00325FC2"/>
    <w:rsid w:val="00327163"/>
    <w:rsid w:val="00330218"/>
    <w:rsid w:val="00333746"/>
    <w:rsid w:val="00335697"/>
    <w:rsid w:val="00336212"/>
    <w:rsid w:val="0034468E"/>
    <w:rsid w:val="003469F4"/>
    <w:rsid w:val="003472A2"/>
    <w:rsid w:val="00347E7D"/>
    <w:rsid w:val="00353BAB"/>
    <w:rsid w:val="00362F21"/>
    <w:rsid w:val="00364A75"/>
    <w:rsid w:val="00372C55"/>
    <w:rsid w:val="003758E4"/>
    <w:rsid w:val="0037733D"/>
    <w:rsid w:val="003820F2"/>
    <w:rsid w:val="00384A30"/>
    <w:rsid w:val="003859E4"/>
    <w:rsid w:val="00387A5C"/>
    <w:rsid w:val="00390AED"/>
    <w:rsid w:val="0039244C"/>
    <w:rsid w:val="003942DD"/>
    <w:rsid w:val="0039518F"/>
    <w:rsid w:val="00395342"/>
    <w:rsid w:val="003A1973"/>
    <w:rsid w:val="003A2834"/>
    <w:rsid w:val="003A2F5C"/>
    <w:rsid w:val="003A3BF5"/>
    <w:rsid w:val="003A4F7D"/>
    <w:rsid w:val="003A5AA9"/>
    <w:rsid w:val="003A5CCE"/>
    <w:rsid w:val="003B0704"/>
    <w:rsid w:val="003B3E2B"/>
    <w:rsid w:val="003C1B9F"/>
    <w:rsid w:val="003C4B49"/>
    <w:rsid w:val="003D420F"/>
    <w:rsid w:val="003E047F"/>
    <w:rsid w:val="003E0779"/>
    <w:rsid w:val="003E5ABA"/>
    <w:rsid w:val="003E7A52"/>
    <w:rsid w:val="003F1FB7"/>
    <w:rsid w:val="003F2108"/>
    <w:rsid w:val="003F4437"/>
    <w:rsid w:val="004012ED"/>
    <w:rsid w:val="00401805"/>
    <w:rsid w:val="0040197C"/>
    <w:rsid w:val="004021E7"/>
    <w:rsid w:val="00404A86"/>
    <w:rsid w:val="00405A2E"/>
    <w:rsid w:val="00407BD9"/>
    <w:rsid w:val="00410902"/>
    <w:rsid w:val="0041306F"/>
    <w:rsid w:val="0041463D"/>
    <w:rsid w:val="004158F2"/>
    <w:rsid w:val="00417030"/>
    <w:rsid w:val="00417081"/>
    <w:rsid w:val="0042019D"/>
    <w:rsid w:val="00420EB5"/>
    <w:rsid w:val="00423BDA"/>
    <w:rsid w:val="004247D5"/>
    <w:rsid w:val="00425347"/>
    <w:rsid w:val="0043007B"/>
    <w:rsid w:val="00430885"/>
    <w:rsid w:val="00432762"/>
    <w:rsid w:val="0043394B"/>
    <w:rsid w:val="00435B2F"/>
    <w:rsid w:val="004448E4"/>
    <w:rsid w:val="00450CD1"/>
    <w:rsid w:val="004519F0"/>
    <w:rsid w:val="00453A03"/>
    <w:rsid w:val="00457715"/>
    <w:rsid w:val="00464296"/>
    <w:rsid w:val="00464E0B"/>
    <w:rsid w:val="00466EE5"/>
    <w:rsid w:val="00472555"/>
    <w:rsid w:val="00475BD2"/>
    <w:rsid w:val="00477AC7"/>
    <w:rsid w:val="00481061"/>
    <w:rsid w:val="00481119"/>
    <w:rsid w:val="004846CB"/>
    <w:rsid w:val="00484DD1"/>
    <w:rsid w:val="004852AB"/>
    <w:rsid w:val="00490108"/>
    <w:rsid w:val="004938FD"/>
    <w:rsid w:val="004A3759"/>
    <w:rsid w:val="004A4452"/>
    <w:rsid w:val="004A4D95"/>
    <w:rsid w:val="004A5AA2"/>
    <w:rsid w:val="004B3CD0"/>
    <w:rsid w:val="004B4495"/>
    <w:rsid w:val="004B617C"/>
    <w:rsid w:val="004B7619"/>
    <w:rsid w:val="004B76E3"/>
    <w:rsid w:val="004C26C8"/>
    <w:rsid w:val="004C3C5D"/>
    <w:rsid w:val="004C6F97"/>
    <w:rsid w:val="004D11E9"/>
    <w:rsid w:val="004D1EAC"/>
    <w:rsid w:val="004D31C9"/>
    <w:rsid w:val="004F399C"/>
    <w:rsid w:val="004F526F"/>
    <w:rsid w:val="004F5D36"/>
    <w:rsid w:val="004F6CC6"/>
    <w:rsid w:val="004F74C3"/>
    <w:rsid w:val="005046E6"/>
    <w:rsid w:val="00505739"/>
    <w:rsid w:val="00515291"/>
    <w:rsid w:val="00515711"/>
    <w:rsid w:val="005162D5"/>
    <w:rsid w:val="0051768F"/>
    <w:rsid w:val="00521A51"/>
    <w:rsid w:val="00522168"/>
    <w:rsid w:val="00522615"/>
    <w:rsid w:val="00523275"/>
    <w:rsid w:val="00530B06"/>
    <w:rsid w:val="00530CB0"/>
    <w:rsid w:val="00537573"/>
    <w:rsid w:val="00540042"/>
    <w:rsid w:val="0054158D"/>
    <w:rsid w:val="00541F78"/>
    <w:rsid w:val="005426A4"/>
    <w:rsid w:val="005433BD"/>
    <w:rsid w:val="00545B93"/>
    <w:rsid w:val="00546B89"/>
    <w:rsid w:val="00550EA1"/>
    <w:rsid w:val="00552C0D"/>
    <w:rsid w:val="005535EA"/>
    <w:rsid w:val="00555D3E"/>
    <w:rsid w:val="005563D0"/>
    <w:rsid w:val="005572F7"/>
    <w:rsid w:val="00560352"/>
    <w:rsid w:val="00560B10"/>
    <w:rsid w:val="00563B6E"/>
    <w:rsid w:val="005655EF"/>
    <w:rsid w:val="00570196"/>
    <w:rsid w:val="00572DDD"/>
    <w:rsid w:val="00577C92"/>
    <w:rsid w:val="005865A1"/>
    <w:rsid w:val="005913E9"/>
    <w:rsid w:val="005933D6"/>
    <w:rsid w:val="005942FA"/>
    <w:rsid w:val="00596869"/>
    <w:rsid w:val="005A23D8"/>
    <w:rsid w:val="005A7599"/>
    <w:rsid w:val="005B1476"/>
    <w:rsid w:val="005B645E"/>
    <w:rsid w:val="005B6CA7"/>
    <w:rsid w:val="005C110A"/>
    <w:rsid w:val="005C4D70"/>
    <w:rsid w:val="005C4EF5"/>
    <w:rsid w:val="005C657E"/>
    <w:rsid w:val="005E3198"/>
    <w:rsid w:val="005E6BCD"/>
    <w:rsid w:val="005E77D2"/>
    <w:rsid w:val="005F7815"/>
    <w:rsid w:val="005F7924"/>
    <w:rsid w:val="005F7CFA"/>
    <w:rsid w:val="00600E9E"/>
    <w:rsid w:val="00600ECE"/>
    <w:rsid w:val="00602462"/>
    <w:rsid w:val="006055F4"/>
    <w:rsid w:val="00605748"/>
    <w:rsid w:val="006108B8"/>
    <w:rsid w:val="00611874"/>
    <w:rsid w:val="00621732"/>
    <w:rsid w:val="00621C22"/>
    <w:rsid w:val="00624AB6"/>
    <w:rsid w:val="00627AEB"/>
    <w:rsid w:val="00632E01"/>
    <w:rsid w:val="00633F94"/>
    <w:rsid w:val="0063544B"/>
    <w:rsid w:val="00641B85"/>
    <w:rsid w:val="00643EAD"/>
    <w:rsid w:val="00647E04"/>
    <w:rsid w:val="00651FB6"/>
    <w:rsid w:val="0065293F"/>
    <w:rsid w:val="006532DB"/>
    <w:rsid w:val="006541BC"/>
    <w:rsid w:val="006610DE"/>
    <w:rsid w:val="00662462"/>
    <w:rsid w:val="00667C89"/>
    <w:rsid w:val="0067081B"/>
    <w:rsid w:val="00670D58"/>
    <w:rsid w:val="0067356A"/>
    <w:rsid w:val="006748DF"/>
    <w:rsid w:val="00674DA4"/>
    <w:rsid w:val="00676884"/>
    <w:rsid w:val="00677E9C"/>
    <w:rsid w:val="006811EB"/>
    <w:rsid w:val="00682C17"/>
    <w:rsid w:val="00683903"/>
    <w:rsid w:val="00686084"/>
    <w:rsid w:val="00690205"/>
    <w:rsid w:val="006903F1"/>
    <w:rsid w:val="00693C31"/>
    <w:rsid w:val="006A2863"/>
    <w:rsid w:val="006A3531"/>
    <w:rsid w:val="006A7305"/>
    <w:rsid w:val="006B0DD3"/>
    <w:rsid w:val="006B1F2C"/>
    <w:rsid w:val="006B413B"/>
    <w:rsid w:val="006C162B"/>
    <w:rsid w:val="006C22F1"/>
    <w:rsid w:val="006C2842"/>
    <w:rsid w:val="006C3BCD"/>
    <w:rsid w:val="006C46CE"/>
    <w:rsid w:val="006C4D9B"/>
    <w:rsid w:val="006D1F06"/>
    <w:rsid w:val="006D20A6"/>
    <w:rsid w:val="006D295C"/>
    <w:rsid w:val="006D46E7"/>
    <w:rsid w:val="006D7144"/>
    <w:rsid w:val="006E152F"/>
    <w:rsid w:val="006E2033"/>
    <w:rsid w:val="006E410B"/>
    <w:rsid w:val="006E6A0F"/>
    <w:rsid w:val="006E7529"/>
    <w:rsid w:val="006F0A32"/>
    <w:rsid w:val="006F21FC"/>
    <w:rsid w:val="006F22F5"/>
    <w:rsid w:val="006F40DC"/>
    <w:rsid w:val="006F5119"/>
    <w:rsid w:val="006F5DDF"/>
    <w:rsid w:val="007023EF"/>
    <w:rsid w:val="00703E32"/>
    <w:rsid w:val="00706084"/>
    <w:rsid w:val="00706BAC"/>
    <w:rsid w:val="0070712A"/>
    <w:rsid w:val="007130D3"/>
    <w:rsid w:val="007146B6"/>
    <w:rsid w:val="007160F7"/>
    <w:rsid w:val="00716680"/>
    <w:rsid w:val="00720D08"/>
    <w:rsid w:val="007212FD"/>
    <w:rsid w:val="00723BCC"/>
    <w:rsid w:val="00724176"/>
    <w:rsid w:val="007241D5"/>
    <w:rsid w:val="007258C2"/>
    <w:rsid w:val="00727163"/>
    <w:rsid w:val="00737CEA"/>
    <w:rsid w:val="0074297B"/>
    <w:rsid w:val="00743905"/>
    <w:rsid w:val="00744007"/>
    <w:rsid w:val="0074404C"/>
    <w:rsid w:val="00745F88"/>
    <w:rsid w:val="00745FB0"/>
    <w:rsid w:val="00750427"/>
    <w:rsid w:val="00750BAE"/>
    <w:rsid w:val="00750C5F"/>
    <w:rsid w:val="00751421"/>
    <w:rsid w:val="00753E8A"/>
    <w:rsid w:val="0075518E"/>
    <w:rsid w:val="007563F7"/>
    <w:rsid w:val="007602C3"/>
    <w:rsid w:val="007620D4"/>
    <w:rsid w:val="00763744"/>
    <w:rsid w:val="007642BE"/>
    <w:rsid w:val="007654CE"/>
    <w:rsid w:val="00765777"/>
    <w:rsid w:val="007661EA"/>
    <w:rsid w:val="00771253"/>
    <w:rsid w:val="00775735"/>
    <w:rsid w:val="007769DD"/>
    <w:rsid w:val="00782BD4"/>
    <w:rsid w:val="00783717"/>
    <w:rsid w:val="00783A05"/>
    <w:rsid w:val="00783FBE"/>
    <w:rsid w:val="0078514A"/>
    <w:rsid w:val="00785327"/>
    <w:rsid w:val="00793895"/>
    <w:rsid w:val="007951BA"/>
    <w:rsid w:val="00796FB7"/>
    <w:rsid w:val="007A0366"/>
    <w:rsid w:val="007A22AF"/>
    <w:rsid w:val="007A2DC4"/>
    <w:rsid w:val="007A44CC"/>
    <w:rsid w:val="007A48BA"/>
    <w:rsid w:val="007A794A"/>
    <w:rsid w:val="007B0ED8"/>
    <w:rsid w:val="007B13F4"/>
    <w:rsid w:val="007B2F00"/>
    <w:rsid w:val="007B37D2"/>
    <w:rsid w:val="007B4FB0"/>
    <w:rsid w:val="007B5692"/>
    <w:rsid w:val="007B7DAD"/>
    <w:rsid w:val="007C1147"/>
    <w:rsid w:val="007C5245"/>
    <w:rsid w:val="007D0109"/>
    <w:rsid w:val="007D10D1"/>
    <w:rsid w:val="007D1444"/>
    <w:rsid w:val="007E4350"/>
    <w:rsid w:val="007F13EE"/>
    <w:rsid w:val="007F2C8B"/>
    <w:rsid w:val="007F4271"/>
    <w:rsid w:val="007F6CBC"/>
    <w:rsid w:val="0080071A"/>
    <w:rsid w:val="00800B5E"/>
    <w:rsid w:val="0080151C"/>
    <w:rsid w:val="00801993"/>
    <w:rsid w:val="00806061"/>
    <w:rsid w:val="00806521"/>
    <w:rsid w:val="00807961"/>
    <w:rsid w:val="0082025E"/>
    <w:rsid w:val="0082156E"/>
    <w:rsid w:val="00825466"/>
    <w:rsid w:val="008266AF"/>
    <w:rsid w:val="00830DD5"/>
    <w:rsid w:val="00833401"/>
    <w:rsid w:val="00840085"/>
    <w:rsid w:val="008406A8"/>
    <w:rsid w:val="00840EA3"/>
    <w:rsid w:val="0084194B"/>
    <w:rsid w:val="0084386B"/>
    <w:rsid w:val="0084536B"/>
    <w:rsid w:val="008518BD"/>
    <w:rsid w:val="008542B1"/>
    <w:rsid w:val="0085570E"/>
    <w:rsid w:val="00855EF6"/>
    <w:rsid w:val="0086220D"/>
    <w:rsid w:val="00863A50"/>
    <w:rsid w:val="00865282"/>
    <w:rsid w:val="008652EB"/>
    <w:rsid w:val="00865570"/>
    <w:rsid w:val="00867A05"/>
    <w:rsid w:val="00867BF4"/>
    <w:rsid w:val="00870FCE"/>
    <w:rsid w:val="0087463D"/>
    <w:rsid w:val="008760F3"/>
    <w:rsid w:val="0087612F"/>
    <w:rsid w:val="00877BCB"/>
    <w:rsid w:val="0088215C"/>
    <w:rsid w:val="00882541"/>
    <w:rsid w:val="00882596"/>
    <w:rsid w:val="00882B5F"/>
    <w:rsid w:val="008831CE"/>
    <w:rsid w:val="00883345"/>
    <w:rsid w:val="0088358A"/>
    <w:rsid w:val="00891BEB"/>
    <w:rsid w:val="00896DB2"/>
    <w:rsid w:val="008A1138"/>
    <w:rsid w:val="008A2499"/>
    <w:rsid w:val="008A336D"/>
    <w:rsid w:val="008A47A8"/>
    <w:rsid w:val="008A73B6"/>
    <w:rsid w:val="008A7EDF"/>
    <w:rsid w:val="008B0A2B"/>
    <w:rsid w:val="008B3189"/>
    <w:rsid w:val="008B65CC"/>
    <w:rsid w:val="008C33BD"/>
    <w:rsid w:val="008C4540"/>
    <w:rsid w:val="008C69B7"/>
    <w:rsid w:val="008D0E25"/>
    <w:rsid w:val="008D45F4"/>
    <w:rsid w:val="008D625C"/>
    <w:rsid w:val="008E22F6"/>
    <w:rsid w:val="008E2533"/>
    <w:rsid w:val="008E2B2D"/>
    <w:rsid w:val="008E59B6"/>
    <w:rsid w:val="008E7CFB"/>
    <w:rsid w:val="008F1C8C"/>
    <w:rsid w:val="00902D8F"/>
    <w:rsid w:val="00906487"/>
    <w:rsid w:val="009105F7"/>
    <w:rsid w:val="009119F3"/>
    <w:rsid w:val="0091381E"/>
    <w:rsid w:val="00915CCE"/>
    <w:rsid w:val="00925C3F"/>
    <w:rsid w:val="00930514"/>
    <w:rsid w:val="009343DC"/>
    <w:rsid w:val="00934859"/>
    <w:rsid w:val="00937E7E"/>
    <w:rsid w:val="00940A88"/>
    <w:rsid w:val="00941CA1"/>
    <w:rsid w:val="009549DB"/>
    <w:rsid w:val="00954DA4"/>
    <w:rsid w:val="00955346"/>
    <w:rsid w:val="009613BA"/>
    <w:rsid w:val="00961417"/>
    <w:rsid w:val="00966523"/>
    <w:rsid w:val="00974F1C"/>
    <w:rsid w:val="00976603"/>
    <w:rsid w:val="0097777F"/>
    <w:rsid w:val="009806CF"/>
    <w:rsid w:val="0098393C"/>
    <w:rsid w:val="00986168"/>
    <w:rsid w:val="00986305"/>
    <w:rsid w:val="00987815"/>
    <w:rsid w:val="0099078E"/>
    <w:rsid w:val="00990C2C"/>
    <w:rsid w:val="009961C6"/>
    <w:rsid w:val="009A34BA"/>
    <w:rsid w:val="009A478B"/>
    <w:rsid w:val="009A47BC"/>
    <w:rsid w:val="009A6B5D"/>
    <w:rsid w:val="009B1EFF"/>
    <w:rsid w:val="009B25DD"/>
    <w:rsid w:val="009B3C5B"/>
    <w:rsid w:val="009B47C2"/>
    <w:rsid w:val="009B54CD"/>
    <w:rsid w:val="009B591C"/>
    <w:rsid w:val="009B621E"/>
    <w:rsid w:val="009B7820"/>
    <w:rsid w:val="009C3CA3"/>
    <w:rsid w:val="009D12B4"/>
    <w:rsid w:val="009D6089"/>
    <w:rsid w:val="009F2A3C"/>
    <w:rsid w:val="009F51F7"/>
    <w:rsid w:val="009F6909"/>
    <w:rsid w:val="00A04CB5"/>
    <w:rsid w:val="00A067BD"/>
    <w:rsid w:val="00A1429B"/>
    <w:rsid w:val="00A23046"/>
    <w:rsid w:val="00A33F32"/>
    <w:rsid w:val="00A343B8"/>
    <w:rsid w:val="00A34472"/>
    <w:rsid w:val="00A36669"/>
    <w:rsid w:val="00A36F38"/>
    <w:rsid w:val="00A43147"/>
    <w:rsid w:val="00A46B7A"/>
    <w:rsid w:val="00A5400A"/>
    <w:rsid w:val="00A60410"/>
    <w:rsid w:val="00A60B06"/>
    <w:rsid w:val="00A6283B"/>
    <w:rsid w:val="00A63B11"/>
    <w:rsid w:val="00A67BFD"/>
    <w:rsid w:val="00A73447"/>
    <w:rsid w:val="00A73930"/>
    <w:rsid w:val="00A74ED0"/>
    <w:rsid w:val="00A81E3F"/>
    <w:rsid w:val="00A83E56"/>
    <w:rsid w:val="00A86D5D"/>
    <w:rsid w:val="00A94983"/>
    <w:rsid w:val="00A96B07"/>
    <w:rsid w:val="00AA06D9"/>
    <w:rsid w:val="00AA2EBA"/>
    <w:rsid w:val="00AA322B"/>
    <w:rsid w:val="00AA4C31"/>
    <w:rsid w:val="00AA732F"/>
    <w:rsid w:val="00AB09C0"/>
    <w:rsid w:val="00AB41EB"/>
    <w:rsid w:val="00AC1F68"/>
    <w:rsid w:val="00AC328B"/>
    <w:rsid w:val="00AC4836"/>
    <w:rsid w:val="00AC4DA8"/>
    <w:rsid w:val="00AC5373"/>
    <w:rsid w:val="00AD653D"/>
    <w:rsid w:val="00AD6702"/>
    <w:rsid w:val="00AD68C8"/>
    <w:rsid w:val="00AD747D"/>
    <w:rsid w:val="00AE2081"/>
    <w:rsid w:val="00AE24E6"/>
    <w:rsid w:val="00AF0E2D"/>
    <w:rsid w:val="00AF117D"/>
    <w:rsid w:val="00AF28C5"/>
    <w:rsid w:val="00AF453A"/>
    <w:rsid w:val="00AF6698"/>
    <w:rsid w:val="00AF67E1"/>
    <w:rsid w:val="00B002FC"/>
    <w:rsid w:val="00B026F1"/>
    <w:rsid w:val="00B0392E"/>
    <w:rsid w:val="00B04A11"/>
    <w:rsid w:val="00B10633"/>
    <w:rsid w:val="00B11B36"/>
    <w:rsid w:val="00B13940"/>
    <w:rsid w:val="00B14DCC"/>
    <w:rsid w:val="00B168B9"/>
    <w:rsid w:val="00B2053B"/>
    <w:rsid w:val="00B23EC6"/>
    <w:rsid w:val="00B24633"/>
    <w:rsid w:val="00B27022"/>
    <w:rsid w:val="00B273CB"/>
    <w:rsid w:val="00B34CAA"/>
    <w:rsid w:val="00B37256"/>
    <w:rsid w:val="00B37BDB"/>
    <w:rsid w:val="00B41767"/>
    <w:rsid w:val="00B42C11"/>
    <w:rsid w:val="00B439FD"/>
    <w:rsid w:val="00B45596"/>
    <w:rsid w:val="00B514BE"/>
    <w:rsid w:val="00B646BC"/>
    <w:rsid w:val="00B654F0"/>
    <w:rsid w:val="00B708F2"/>
    <w:rsid w:val="00B765D8"/>
    <w:rsid w:val="00B81156"/>
    <w:rsid w:val="00B846CF"/>
    <w:rsid w:val="00B93EF1"/>
    <w:rsid w:val="00BA408D"/>
    <w:rsid w:val="00BA43A4"/>
    <w:rsid w:val="00BA500F"/>
    <w:rsid w:val="00BB00B3"/>
    <w:rsid w:val="00BB2D70"/>
    <w:rsid w:val="00BB4786"/>
    <w:rsid w:val="00BB6D36"/>
    <w:rsid w:val="00BB7805"/>
    <w:rsid w:val="00BC2886"/>
    <w:rsid w:val="00BC498C"/>
    <w:rsid w:val="00BD05D8"/>
    <w:rsid w:val="00BE0F51"/>
    <w:rsid w:val="00BF126F"/>
    <w:rsid w:val="00BF6682"/>
    <w:rsid w:val="00C01B9D"/>
    <w:rsid w:val="00C05F00"/>
    <w:rsid w:val="00C11B66"/>
    <w:rsid w:val="00C13B0D"/>
    <w:rsid w:val="00C159A3"/>
    <w:rsid w:val="00C16503"/>
    <w:rsid w:val="00C1793B"/>
    <w:rsid w:val="00C17EAB"/>
    <w:rsid w:val="00C2409C"/>
    <w:rsid w:val="00C273BF"/>
    <w:rsid w:val="00C30470"/>
    <w:rsid w:val="00C305A3"/>
    <w:rsid w:val="00C32D1F"/>
    <w:rsid w:val="00C377F7"/>
    <w:rsid w:val="00C414C8"/>
    <w:rsid w:val="00C45175"/>
    <w:rsid w:val="00C51154"/>
    <w:rsid w:val="00C602E9"/>
    <w:rsid w:val="00C65030"/>
    <w:rsid w:val="00C74576"/>
    <w:rsid w:val="00C75D31"/>
    <w:rsid w:val="00C863AC"/>
    <w:rsid w:val="00C9014E"/>
    <w:rsid w:val="00C91727"/>
    <w:rsid w:val="00C91FF7"/>
    <w:rsid w:val="00C937FB"/>
    <w:rsid w:val="00C950A2"/>
    <w:rsid w:val="00C95290"/>
    <w:rsid w:val="00CA47F0"/>
    <w:rsid w:val="00CC00A5"/>
    <w:rsid w:val="00CC110A"/>
    <w:rsid w:val="00CC204E"/>
    <w:rsid w:val="00CC273E"/>
    <w:rsid w:val="00CC2FFE"/>
    <w:rsid w:val="00CC3588"/>
    <w:rsid w:val="00CC4E6B"/>
    <w:rsid w:val="00CC5145"/>
    <w:rsid w:val="00CD0D00"/>
    <w:rsid w:val="00CD2E84"/>
    <w:rsid w:val="00CD338C"/>
    <w:rsid w:val="00CD45C1"/>
    <w:rsid w:val="00CD53D6"/>
    <w:rsid w:val="00CD6400"/>
    <w:rsid w:val="00CD7AA8"/>
    <w:rsid w:val="00CE1741"/>
    <w:rsid w:val="00CE39E0"/>
    <w:rsid w:val="00CE4245"/>
    <w:rsid w:val="00D02A29"/>
    <w:rsid w:val="00D043C0"/>
    <w:rsid w:val="00D10412"/>
    <w:rsid w:val="00D11FF2"/>
    <w:rsid w:val="00D121C1"/>
    <w:rsid w:val="00D17382"/>
    <w:rsid w:val="00D17572"/>
    <w:rsid w:val="00D26B46"/>
    <w:rsid w:val="00D277C4"/>
    <w:rsid w:val="00D30681"/>
    <w:rsid w:val="00D31289"/>
    <w:rsid w:val="00D347CA"/>
    <w:rsid w:val="00D37456"/>
    <w:rsid w:val="00D40C09"/>
    <w:rsid w:val="00D453CE"/>
    <w:rsid w:val="00D509C4"/>
    <w:rsid w:val="00D510F1"/>
    <w:rsid w:val="00D54E98"/>
    <w:rsid w:val="00D55F99"/>
    <w:rsid w:val="00D62507"/>
    <w:rsid w:val="00D6300F"/>
    <w:rsid w:val="00D63E05"/>
    <w:rsid w:val="00D73251"/>
    <w:rsid w:val="00D75DFE"/>
    <w:rsid w:val="00D77932"/>
    <w:rsid w:val="00D83FF5"/>
    <w:rsid w:val="00D84959"/>
    <w:rsid w:val="00D859EA"/>
    <w:rsid w:val="00D86070"/>
    <w:rsid w:val="00D87E20"/>
    <w:rsid w:val="00D94542"/>
    <w:rsid w:val="00D953F4"/>
    <w:rsid w:val="00DB0E83"/>
    <w:rsid w:val="00DB29E1"/>
    <w:rsid w:val="00DB3961"/>
    <w:rsid w:val="00DB4B7E"/>
    <w:rsid w:val="00DB4C52"/>
    <w:rsid w:val="00DB595F"/>
    <w:rsid w:val="00DC0548"/>
    <w:rsid w:val="00DC2C9B"/>
    <w:rsid w:val="00DC2F63"/>
    <w:rsid w:val="00DC35F6"/>
    <w:rsid w:val="00DC4F04"/>
    <w:rsid w:val="00DD0CCA"/>
    <w:rsid w:val="00DD4AC6"/>
    <w:rsid w:val="00DD65DA"/>
    <w:rsid w:val="00DE13BC"/>
    <w:rsid w:val="00DE1580"/>
    <w:rsid w:val="00DE52EF"/>
    <w:rsid w:val="00DE6108"/>
    <w:rsid w:val="00DF27A7"/>
    <w:rsid w:val="00DF694E"/>
    <w:rsid w:val="00E0015F"/>
    <w:rsid w:val="00E02159"/>
    <w:rsid w:val="00E06EBB"/>
    <w:rsid w:val="00E11231"/>
    <w:rsid w:val="00E223C5"/>
    <w:rsid w:val="00E23CD1"/>
    <w:rsid w:val="00E252F8"/>
    <w:rsid w:val="00E27A5E"/>
    <w:rsid w:val="00E3232A"/>
    <w:rsid w:val="00E33901"/>
    <w:rsid w:val="00E347FF"/>
    <w:rsid w:val="00E36633"/>
    <w:rsid w:val="00E36B7B"/>
    <w:rsid w:val="00E36E8B"/>
    <w:rsid w:val="00E37CA9"/>
    <w:rsid w:val="00E44419"/>
    <w:rsid w:val="00E464B3"/>
    <w:rsid w:val="00E5107C"/>
    <w:rsid w:val="00E52083"/>
    <w:rsid w:val="00E543B6"/>
    <w:rsid w:val="00E5524A"/>
    <w:rsid w:val="00E56C91"/>
    <w:rsid w:val="00E5707F"/>
    <w:rsid w:val="00E61BED"/>
    <w:rsid w:val="00E62D1C"/>
    <w:rsid w:val="00E642D1"/>
    <w:rsid w:val="00E64B0B"/>
    <w:rsid w:val="00E749D2"/>
    <w:rsid w:val="00E74A2F"/>
    <w:rsid w:val="00E75BA2"/>
    <w:rsid w:val="00E84AA2"/>
    <w:rsid w:val="00E909DD"/>
    <w:rsid w:val="00E90A44"/>
    <w:rsid w:val="00E92698"/>
    <w:rsid w:val="00EA043F"/>
    <w:rsid w:val="00EA121D"/>
    <w:rsid w:val="00EA6F01"/>
    <w:rsid w:val="00EB26FE"/>
    <w:rsid w:val="00EB2BED"/>
    <w:rsid w:val="00EB3997"/>
    <w:rsid w:val="00EC00D0"/>
    <w:rsid w:val="00EC2B67"/>
    <w:rsid w:val="00EC374D"/>
    <w:rsid w:val="00EC5FC7"/>
    <w:rsid w:val="00EC6A68"/>
    <w:rsid w:val="00EC7A3F"/>
    <w:rsid w:val="00ED2126"/>
    <w:rsid w:val="00ED4C00"/>
    <w:rsid w:val="00EE1A5A"/>
    <w:rsid w:val="00EE3B2F"/>
    <w:rsid w:val="00EE6FE3"/>
    <w:rsid w:val="00EF0B69"/>
    <w:rsid w:val="00EF161F"/>
    <w:rsid w:val="00EF3D18"/>
    <w:rsid w:val="00EF41AB"/>
    <w:rsid w:val="00EF5BD5"/>
    <w:rsid w:val="00EF7E56"/>
    <w:rsid w:val="00F04DC1"/>
    <w:rsid w:val="00F060E7"/>
    <w:rsid w:val="00F15453"/>
    <w:rsid w:val="00F171E7"/>
    <w:rsid w:val="00F178F0"/>
    <w:rsid w:val="00F322BD"/>
    <w:rsid w:val="00F34AFB"/>
    <w:rsid w:val="00F4276D"/>
    <w:rsid w:val="00F51956"/>
    <w:rsid w:val="00F529FB"/>
    <w:rsid w:val="00F5704C"/>
    <w:rsid w:val="00F57645"/>
    <w:rsid w:val="00F60456"/>
    <w:rsid w:val="00F60BAE"/>
    <w:rsid w:val="00F61440"/>
    <w:rsid w:val="00F635BA"/>
    <w:rsid w:val="00F66D60"/>
    <w:rsid w:val="00F71406"/>
    <w:rsid w:val="00F72A84"/>
    <w:rsid w:val="00F76AC0"/>
    <w:rsid w:val="00F76DBD"/>
    <w:rsid w:val="00F77916"/>
    <w:rsid w:val="00F81C4A"/>
    <w:rsid w:val="00F924E3"/>
    <w:rsid w:val="00F92FED"/>
    <w:rsid w:val="00F94537"/>
    <w:rsid w:val="00F9704A"/>
    <w:rsid w:val="00FA0115"/>
    <w:rsid w:val="00FA09CA"/>
    <w:rsid w:val="00FA1DE3"/>
    <w:rsid w:val="00FA2408"/>
    <w:rsid w:val="00FA298F"/>
    <w:rsid w:val="00FA2A22"/>
    <w:rsid w:val="00FA4E2C"/>
    <w:rsid w:val="00FA5244"/>
    <w:rsid w:val="00FA6D80"/>
    <w:rsid w:val="00FB1769"/>
    <w:rsid w:val="00FB20D8"/>
    <w:rsid w:val="00FB3B7A"/>
    <w:rsid w:val="00FB4728"/>
    <w:rsid w:val="00FB5C42"/>
    <w:rsid w:val="00FC2F50"/>
    <w:rsid w:val="00FC72D8"/>
    <w:rsid w:val="00FD289F"/>
    <w:rsid w:val="00FD5444"/>
    <w:rsid w:val="00FE2FA3"/>
    <w:rsid w:val="00FE4B38"/>
    <w:rsid w:val="00FE7FCB"/>
    <w:rsid w:val="00FF3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35B2F"/>
    <w:pPr>
      <w:spacing w:before="480" w:after="0"/>
      <w:contextualSpacing/>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435B2F"/>
    <w:pPr>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unhideWhenUsed/>
    <w:qFormat/>
    <w:rsid w:val="00435B2F"/>
    <w:pPr>
      <w:spacing w:before="200" w:after="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435B2F"/>
    <w:pPr>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435B2F"/>
    <w:pPr>
      <w:spacing w:before="200" w:after="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435B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435B2F"/>
    <w:pPr>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435B2F"/>
    <w:pPr>
      <w:spacing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435B2F"/>
    <w:pPr>
      <w:spacing w:after="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5B2F"/>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435B2F"/>
    <w:rPr>
      <w:rFonts w:asciiTheme="majorHAnsi" w:eastAsiaTheme="majorEastAsia" w:hAnsiTheme="majorHAnsi" w:cstheme="majorBidi"/>
      <w:b/>
      <w:bCs/>
      <w:sz w:val="26"/>
      <w:szCs w:val="26"/>
    </w:rPr>
  </w:style>
  <w:style w:type="character" w:styleId="Betoning">
    <w:name w:val="Emphasis"/>
    <w:uiPriority w:val="20"/>
    <w:qFormat/>
    <w:rsid w:val="00435B2F"/>
    <w:rPr>
      <w:b/>
      <w:bCs/>
      <w:i/>
      <w:iCs/>
      <w:spacing w:val="10"/>
      <w:bdr w:val="none" w:sz="0" w:space="0" w:color="auto"/>
      <w:shd w:val="clear" w:color="auto" w:fill="auto"/>
    </w:rPr>
  </w:style>
  <w:style w:type="paragraph" w:styleId="Fotnotstext">
    <w:name w:val="footnote text"/>
    <w:basedOn w:val="Normal"/>
    <w:link w:val="FotnotstextChar"/>
    <w:uiPriority w:val="99"/>
    <w:semiHidden/>
    <w:unhideWhenUsed/>
    <w:rsid w:val="0034468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4468E"/>
    <w:rPr>
      <w:sz w:val="20"/>
      <w:szCs w:val="20"/>
    </w:rPr>
  </w:style>
  <w:style w:type="character" w:styleId="Fotnotsreferens">
    <w:name w:val="footnote reference"/>
    <w:basedOn w:val="Standardstycketeckensnitt"/>
    <w:uiPriority w:val="99"/>
    <w:semiHidden/>
    <w:unhideWhenUsed/>
    <w:rsid w:val="0034468E"/>
    <w:rPr>
      <w:vertAlign w:val="superscript"/>
    </w:rPr>
  </w:style>
  <w:style w:type="character" w:styleId="Hyperlnk">
    <w:name w:val="Hyperlink"/>
    <w:basedOn w:val="Standardstycketeckensnitt"/>
    <w:uiPriority w:val="99"/>
    <w:unhideWhenUsed/>
    <w:rsid w:val="00083D16"/>
    <w:rPr>
      <w:color w:val="0000FF" w:themeColor="hyperlink"/>
      <w:u w:val="single"/>
    </w:rPr>
  </w:style>
  <w:style w:type="character" w:customStyle="1" w:styleId="Rubrik3Char">
    <w:name w:val="Rubrik 3 Char"/>
    <w:basedOn w:val="Standardstycketeckensnitt"/>
    <w:link w:val="Rubrik3"/>
    <w:uiPriority w:val="9"/>
    <w:rsid w:val="00435B2F"/>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435B2F"/>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435B2F"/>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435B2F"/>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435B2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435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435B2F"/>
    <w:rPr>
      <w:rFonts w:asciiTheme="majorHAnsi" w:eastAsiaTheme="majorEastAsia" w:hAnsiTheme="majorHAnsi" w:cstheme="majorBidi"/>
      <w:i/>
      <w:iCs/>
      <w:spacing w:val="5"/>
      <w:sz w:val="20"/>
      <w:szCs w:val="20"/>
    </w:rPr>
  </w:style>
  <w:style w:type="paragraph" w:styleId="Beskrivning">
    <w:name w:val="caption"/>
    <w:basedOn w:val="Normal"/>
    <w:next w:val="Normal"/>
    <w:uiPriority w:val="35"/>
    <w:semiHidden/>
    <w:unhideWhenUsed/>
    <w:rsid w:val="00435B2F"/>
    <w:rPr>
      <w:b/>
      <w:bCs/>
      <w:sz w:val="18"/>
      <w:szCs w:val="18"/>
    </w:rPr>
  </w:style>
  <w:style w:type="paragraph" w:styleId="Rubrik">
    <w:name w:val="Title"/>
    <w:basedOn w:val="Normal"/>
    <w:next w:val="Normal"/>
    <w:link w:val="RubrikChar"/>
    <w:uiPriority w:val="10"/>
    <w:qFormat/>
    <w:rsid w:val="00435B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435B2F"/>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435B2F"/>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rsid w:val="00435B2F"/>
    <w:rPr>
      <w:rFonts w:asciiTheme="majorHAnsi" w:eastAsiaTheme="majorEastAsia" w:hAnsiTheme="majorHAnsi" w:cstheme="majorBidi"/>
      <w:i/>
      <w:iCs/>
      <w:spacing w:val="13"/>
      <w:sz w:val="24"/>
      <w:szCs w:val="24"/>
    </w:rPr>
  </w:style>
  <w:style w:type="character" w:styleId="Stark">
    <w:name w:val="Strong"/>
    <w:uiPriority w:val="22"/>
    <w:qFormat/>
    <w:rsid w:val="00435B2F"/>
    <w:rPr>
      <w:b/>
      <w:bCs/>
    </w:rPr>
  </w:style>
  <w:style w:type="paragraph" w:styleId="Ingetavstnd">
    <w:name w:val="No Spacing"/>
    <w:basedOn w:val="Normal"/>
    <w:link w:val="IngetavstndChar"/>
    <w:uiPriority w:val="1"/>
    <w:qFormat/>
    <w:rsid w:val="00435B2F"/>
    <w:pPr>
      <w:spacing w:after="0" w:line="240" w:lineRule="auto"/>
    </w:pPr>
  </w:style>
  <w:style w:type="character" w:customStyle="1" w:styleId="IngetavstndChar">
    <w:name w:val="Inget avstånd Char"/>
    <w:basedOn w:val="Standardstycketeckensnitt"/>
    <w:link w:val="Ingetavstnd"/>
    <w:uiPriority w:val="1"/>
    <w:rsid w:val="00435B2F"/>
  </w:style>
  <w:style w:type="paragraph" w:styleId="Liststycke">
    <w:name w:val="List Paragraph"/>
    <w:basedOn w:val="Normal"/>
    <w:uiPriority w:val="34"/>
    <w:qFormat/>
    <w:rsid w:val="00435B2F"/>
    <w:pPr>
      <w:ind w:left="720"/>
      <w:contextualSpacing/>
    </w:pPr>
  </w:style>
  <w:style w:type="paragraph" w:styleId="Citat">
    <w:name w:val="Quote"/>
    <w:basedOn w:val="Normal"/>
    <w:next w:val="Normal"/>
    <w:link w:val="CitatChar"/>
    <w:uiPriority w:val="29"/>
    <w:qFormat/>
    <w:rsid w:val="00435B2F"/>
    <w:pPr>
      <w:spacing w:before="200" w:after="0"/>
      <w:ind w:left="360" w:right="360"/>
    </w:pPr>
    <w:rPr>
      <w:i/>
      <w:iCs/>
    </w:rPr>
  </w:style>
  <w:style w:type="character" w:customStyle="1" w:styleId="CitatChar">
    <w:name w:val="Citat Char"/>
    <w:basedOn w:val="Standardstycketeckensnitt"/>
    <w:link w:val="Citat"/>
    <w:uiPriority w:val="29"/>
    <w:rsid w:val="00435B2F"/>
    <w:rPr>
      <w:i/>
      <w:iCs/>
    </w:rPr>
  </w:style>
  <w:style w:type="paragraph" w:styleId="Starktcitat">
    <w:name w:val="Intense Quote"/>
    <w:basedOn w:val="Normal"/>
    <w:next w:val="Normal"/>
    <w:link w:val="StarktcitatChar"/>
    <w:uiPriority w:val="30"/>
    <w:qFormat/>
    <w:rsid w:val="00435B2F"/>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435B2F"/>
    <w:rPr>
      <w:b/>
      <w:bCs/>
      <w:i/>
      <w:iCs/>
    </w:rPr>
  </w:style>
  <w:style w:type="character" w:styleId="Diskretbetoning">
    <w:name w:val="Subtle Emphasis"/>
    <w:uiPriority w:val="19"/>
    <w:qFormat/>
    <w:rsid w:val="00435B2F"/>
    <w:rPr>
      <w:i/>
      <w:iCs/>
    </w:rPr>
  </w:style>
  <w:style w:type="character" w:styleId="Starkbetoning">
    <w:name w:val="Intense Emphasis"/>
    <w:uiPriority w:val="21"/>
    <w:qFormat/>
    <w:rsid w:val="00435B2F"/>
    <w:rPr>
      <w:b/>
      <w:bCs/>
    </w:rPr>
  </w:style>
  <w:style w:type="character" w:styleId="Diskretreferens">
    <w:name w:val="Subtle Reference"/>
    <w:uiPriority w:val="31"/>
    <w:qFormat/>
    <w:rsid w:val="00435B2F"/>
    <w:rPr>
      <w:smallCaps/>
    </w:rPr>
  </w:style>
  <w:style w:type="character" w:styleId="Starkreferens">
    <w:name w:val="Intense Reference"/>
    <w:uiPriority w:val="32"/>
    <w:qFormat/>
    <w:rsid w:val="00435B2F"/>
    <w:rPr>
      <w:smallCaps/>
      <w:spacing w:val="5"/>
      <w:u w:val="single"/>
    </w:rPr>
  </w:style>
  <w:style w:type="character" w:styleId="Bokenstitel">
    <w:name w:val="Book Title"/>
    <w:uiPriority w:val="33"/>
    <w:qFormat/>
    <w:rsid w:val="00435B2F"/>
    <w:rPr>
      <w:i/>
      <w:iCs/>
      <w:smallCaps/>
      <w:spacing w:val="5"/>
    </w:rPr>
  </w:style>
  <w:style w:type="paragraph" w:styleId="Innehllsfrteckningsrubrik">
    <w:name w:val="TOC Heading"/>
    <w:basedOn w:val="Rubrik1"/>
    <w:next w:val="Normal"/>
    <w:uiPriority w:val="39"/>
    <w:semiHidden/>
    <w:unhideWhenUsed/>
    <w:qFormat/>
    <w:rsid w:val="00435B2F"/>
    <w:pPr>
      <w:outlineLvl w:val="9"/>
    </w:pPr>
    <w:rPr>
      <w:lang w:bidi="en-US"/>
    </w:rPr>
  </w:style>
  <w:style w:type="paragraph" w:styleId="Ballongtext">
    <w:name w:val="Balloon Text"/>
    <w:basedOn w:val="Normal"/>
    <w:link w:val="BallongtextChar"/>
    <w:uiPriority w:val="99"/>
    <w:semiHidden/>
    <w:unhideWhenUsed/>
    <w:rsid w:val="009766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35B2F"/>
    <w:pPr>
      <w:spacing w:before="480" w:after="0"/>
      <w:contextualSpacing/>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435B2F"/>
    <w:pPr>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unhideWhenUsed/>
    <w:qFormat/>
    <w:rsid w:val="00435B2F"/>
    <w:pPr>
      <w:spacing w:before="200" w:after="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435B2F"/>
    <w:pPr>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435B2F"/>
    <w:pPr>
      <w:spacing w:before="200" w:after="0"/>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unhideWhenUsed/>
    <w:qFormat/>
    <w:rsid w:val="00435B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unhideWhenUsed/>
    <w:qFormat/>
    <w:rsid w:val="00435B2F"/>
    <w:pPr>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435B2F"/>
    <w:pPr>
      <w:spacing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435B2F"/>
    <w:pPr>
      <w:spacing w:after="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5B2F"/>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435B2F"/>
    <w:rPr>
      <w:rFonts w:asciiTheme="majorHAnsi" w:eastAsiaTheme="majorEastAsia" w:hAnsiTheme="majorHAnsi" w:cstheme="majorBidi"/>
      <w:b/>
      <w:bCs/>
      <w:sz w:val="26"/>
      <w:szCs w:val="26"/>
    </w:rPr>
  </w:style>
  <w:style w:type="character" w:styleId="Betoning">
    <w:name w:val="Emphasis"/>
    <w:uiPriority w:val="20"/>
    <w:qFormat/>
    <w:rsid w:val="00435B2F"/>
    <w:rPr>
      <w:b/>
      <w:bCs/>
      <w:i/>
      <w:iCs/>
      <w:spacing w:val="10"/>
      <w:bdr w:val="none" w:sz="0" w:space="0" w:color="auto"/>
      <w:shd w:val="clear" w:color="auto" w:fill="auto"/>
    </w:rPr>
  </w:style>
  <w:style w:type="paragraph" w:styleId="Fotnotstext">
    <w:name w:val="footnote text"/>
    <w:basedOn w:val="Normal"/>
    <w:link w:val="FotnotstextChar"/>
    <w:uiPriority w:val="99"/>
    <w:semiHidden/>
    <w:unhideWhenUsed/>
    <w:rsid w:val="0034468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4468E"/>
    <w:rPr>
      <w:sz w:val="20"/>
      <w:szCs w:val="20"/>
    </w:rPr>
  </w:style>
  <w:style w:type="character" w:styleId="Fotnotsreferens">
    <w:name w:val="footnote reference"/>
    <w:basedOn w:val="Standardstycketeckensnitt"/>
    <w:uiPriority w:val="99"/>
    <w:semiHidden/>
    <w:unhideWhenUsed/>
    <w:rsid w:val="0034468E"/>
    <w:rPr>
      <w:vertAlign w:val="superscript"/>
    </w:rPr>
  </w:style>
  <w:style w:type="character" w:styleId="Hyperlnk">
    <w:name w:val="Hyperlink"/>
    <w:basedOn w:val="Standardstycketeckensnitt"/>
    <w:uiPriority w:val="99"/>
    <w:unhideWhenUsed/>
    <w:rsid w:val="00083D16"/>
    <w:rPr>
      <w:color w:val="0000FF" w:themeColor="hyperlink"/>
      <w:u w:val="single"/>
    </w:rPr>
  </w:style>
  <w:style w:type="character" w:customStyle="1" w:styleId="Rubrik3Char">
    <w:name w:val="Rubrik 3 Char"/>
    <w:basedOn w:val="Standardstycketeckensnitt"/>
    <w:link w:val="Rubrik3"/>
    <w:uiPriority w:val="9"/>
    <w:rsid w:val="00435B2F"/>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435B2F"/>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435B2F"/>
    <w:rPr>
      <w:rFonts w:asciiTheme="majorHAnsi" w:eastAsiaTheme="majorEastAsia" w:hAnsiTheme="majorHAnsi" w:cstheme="majorBidi"/>
      <w:b/>
      <w:bCs/>
      <w:color w:val="7F7F7F" w:themeColor="text1" w:themeTint="80"/>
    </w:rPr>
  </w:style>
  <w:style w:type="character" w:customStyle="1" w:styleId="Rubrik6Char">
    <w:name w:val="Rubrik 6 Char"/>
    <w:basedOn w:val="Standardstycketeckensnitt"/>
    <w:link w:val="Rubrik6"/>
    <w:uiPriority w:val="9"/>
    <w:semiHidden/>
    <w:rsid w:val="00435B2F"/>
    <w:rPr>
      <w:rFonts w:asciiTheme="majorHAnsi" w:eastAsiaTheme="majorEastAsia" w:hAnsiTheme="majorHAnsi" w:cstheme="majorBidi"/>
      <w:b/>
      <w:bCs/>
      <w:i/>
      <w:iCs/>
      <w:color w:val="7F7F7F" w:themeColor="text1" w:themeTint="80"/>
    </w:rPr>
  </w:style>
  <w:style w:type="character" w:customStyle="1" w:styleId="Rubrik7Char">
    <w:name w:val="Rubrik 7 Char"/>
    <w:basedOn w:val="Standardstycketeckensnitt"/>
    <w:link w:val="Rubrik7"/>
    <w:uiPriority w:val="9"/>
    <w:semiHidden/>
    <w:rsid w:val="00435B2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435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435B2F"/>
    <w:rPr>
      <w:rFonts w:asciiTheme="majorHAnsi" w:eastAsiaTheme="majorEastAsia" w:hAnsiTheme="majorHAnsi" w:cstheme="majorBidi"/>
      <w:i/>
      <w:iCs/>
      <w:spacing w:val="5"/>
      <w:sz w:val="20"/>
      <w:szCs w:val="20"/>
    </w:rPr>
  </w:style>
  <w:style w:type="paragraph" w:styleId="Beskrivning">
    <w:name w:val="caption"/>
    <w:basedOn w:val="Normal"/>
    <w:next w:val="Normal"/>
    <w:uiPriority w:val="35"/>
    <w:semiHidden/>
    <w:unhideWhenUsed/>
    <w:rsid w:val="00435B2F"/>
    <w:rPr>
      <w:b/>
      <w:bCs/>
      <w:sz w:val="18"/>
      <w:szCs w:val="18"/>
    </w:rPr>
  </w:style>
  <w:style w:type="paragraph" w:styleId="Rubrik">
    <w:name w:val="Title"/>
    <w:basedOn w:val="Normal"/>
    <w:next w:val="Normal"/>
    <w:link w:val="RubrikChar"/>
    <w:uiPriority w:val="10"/>
    <w:qFormat/>
    <w:rsid w:val="00435B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435B2F"/>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435B2F"/>
    <w:pPr>
      <w:spacing w:after="600"/>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rsid w:val="00435B2F"/>
    <w:rPr>
      <w:rFonts w:asciiTheme="majorHAnsi" w:eastAsiaTheme="majorEastAsia" w:hAnsiTheme="majorHAnsi" w:cstheme="majorBidi"/>
      <w:i/>
      <w:iCs/>
      <w:spacing w:val="13"/>
      <w:sz w:val="24"/>
      <w:szCs w:val="24"/>
    </w:rPr>
  </w:style>
  <w:style w:type="character" w:styleId="Stark">
    <w:name w:val="Strong"/>
    <w:uiPriority w:val="22"/>
    <w:qFormat/>
    <w:rsid w:val="00435B2F"/>
    <w:rPr>
      <w:b/>
      <w:bCs/>
    </w:rPr>
  </w:style>
  <w:style w:type="paragraph" w:styleId="Ingetavstnd">
    <w:name w:val="No Spacing"/>
    <w:basedOn w:val="Normal"/>
    <w:link w:val="IngetavstndChar"/>
    <w:uiPriority w:val="1"/>
    <w:qFormat/>
    <w:rsid w:val="00435B2F"/>
    <w:pPr>
      <w:spacing w:after="0" w:line="240" w:lineRule="auto"/>
    </w:pPr>
  </w:style>
  <w:style w:type="character" w:customStyle="1" w:styleId="IngetavstndChar">
    <w:name w:val="Inget avstånd Char"/>
    <w:basedOn w:val="Standardstycketeckensnitt"/>
    <w:link w:val="Ingetavstnd"/>
    <w:uiPriority w:val="1"/>
    <w:rsid w:val="00435B2F"/>
  </w:style>
  <w:style w:type="paragraph" w:styleId="Liststycke">
    <w:name w:val="List Paragraph"/>
    <w:basedOn w:val="Normal"/>
    <w:uiPriority w:val="34"/>
    <w:qFormat/>
    <w:rsid w:val="00435B2F"/>
    <w:pPr>
      <w:ind w:left="720"/>
      <w:contextualSpacing/>
    </w:pPr>
  </w:style>
  <w:style w:type="paragraph" w:styleId="Citat">
    <w:name w:val="Quote"/>
    <w:basedOn w:val="Normal"/>
    <w:next w:val="Normal"/>
    <w:link w:val="CitatChar"/>
    <w:uiPriority w:val="29"/>
    <w:qFormat/>
    <w:rsid w:val="00435B2F"/>
    <w:pPr>
      <w:spacing w:before="200" w:after="0"/>
      <w:ind w:left="360" w:right="360"/>
    </w:pPr>
    <w:rPr>
      <w:i/>
      <w:iCs/>
    </w:rPr>
  </w:style>
  <w:style w:type="character" w:customStyle="1" w:styleId="CitatChar">
    <w:name w:val="Citat Char"/>
    <w:basedOn w:val="Standardstycketeckensnitt"/>
    <w:link w:val="Citat"/>
    <w:uiPriority w:val="29"/>
    <w:rsid w:val="00435B2F"/>
    <w:rPr>
      <w:i/>
      <w:iCs/>
    </w:rPr>
  </w:style>
  <w:style w:type="paragraph" w:styleId="Starktcitat">
    <w:name w:val="Intense Quote"/>
    <w:basedOn w:val="Normal"/>
    <w:next w:val="Normal"/>
    <w:link w:val="StarktcitatChar"/>
    <w:uiPriority w:val="30"/>
    <w:qFormat/>
    <w:rsid w:val="00435B2F"/>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435B2F"/>
    <w:rPr>
      <w:b/>
      <w:bCs/>
      <w:i/>
      <w:iCs/>
    </w:rPr>
  </w:style>
  <w:style w:type="character" w:styleId="Diskretbetoning">
    <w:name w:val="Subtle Emphasis"/>
    <w:uiPriority w:val="19"/>
    <w:qFormat/>
    <w:rsid w:val="00435B2F"/>
    <w:rPr>
      <w:i/>
      <w:iCs/>
    </w:rPr>
  </w:style>
  <w:style w:type="character" w:styleId="Starkbetoning">
    <w:name w:val="Intense Emphasis"/>
    <w:uiPriority w:val="21"/>
    <w:qFormat/>
    <w:rsid w:val="00435B2F"/>
    <w:rPr>
      <w:b/>
      <w:bCs/>
    </w:rPr>
  </w:style>
  <w:style w:type="character" w:styleId="Diskretreferens">
    <w:name w:val="Subtle Reference"/>
    <w:uiPriority w:val="31"/>
    <w:qFormat/>
    <w:rsid w:val="00435B2F"/>
    <w:rPr>
      <w:smallCaps/>
    </w:rPr>
  </w:style>
  <w:style w:type="character" w:styleId="Starkreferens">
    <w:name w:val="Intense Reference"/>
    <w:uiPriority w:val="32"/>
    <w:qFormat/>
    <w:rsid w:val="00435B2F"/>
    <w:rPr>
      <w:smallCaps/>
      <w:spacing w:val="5"/>
      <w:u w:val="single"/>
    </w:rPr>
  </w:style>
  <w:style w:type="character" w:styleId="Bokenstitel">
    <w:name w:val="Book Title"/>
    <w:uiPriority w:val="33"/>
    <w:qFormat/>
    <w:rsid w:val="00435B2F"/>
    <w:rPr>
      <w:i/>
      <w:iCs/>
      <w:smallCaps/>
      <w:spacing w:val="5"/>
    </w:rPr>
  </w:style>
  <w:style w:type="paragraph" w:styleId="Innehllsfrteckningsrubrik">
    <w:name w:val="TOC Heading"/>
    <w:basedOn w:val="Rubrik1"/>
    <w:next w:val="Normal"/>
    <w:uiPriority w:val="39"/>
    <w:semiHidden/>
    <w:unhideWhenUsed/>
    <w:qFormat/>
    <w:rsid w:val="00435B2F"/>
    <w:pPr>
      <w:outlineLvl w:val="9"/>
    </w:pPr>
    <w:rPr>
      <w:lang w:bidi="en-US"/>
    </w:rPr>
  </w:style>
  <w:style w:type="paragraph" w:styleId="Ballongtext">
    <w:name w:val="Balloon Text"/>
    <w:basedOn w:val="Normal"/>
    <w:link w:val="BallongtextChar"/>
    <w:uiPriority w:val="99"/>
    <w:semiHidden/>
    <w:unhideWhenUsed/>
    <w:rsid w:val="009766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23209">
      <w:bodyDiv w:val="1"/>
      <w:marLeft w:val="0"/>
      <w:marRight w:val="0"/>
      <w:marTop w:val="0"/>
      <w:marBottom w:val="0"/>
      <w:divBdr>
        <w:top w:val="none" w:sz="0" w:space="0" w:color="auto"/>
        <w:left w:val="none" w:sz="0" w:space="0" w:color="auto"/>
        <w:bottom w:val="none" w:sz="0" w:space="0" w:color="auto"/>
        <w:right w:val="none" w:sz="0" w:space="0" w:color="auto"/>
      </w:divBdr>
    </w:div>
    <w:div w:id="543249391">
      <w:bodyDiv w:val="1"/>
      <w:marLeft w:val="0"/>
      <w:marRight w:val="0"/>
      <w:marTop w:val="0"/>
      <w:marBottom w:val="0"/>
      <w:divBdr>
        <w:top w:val="none" w:sz="0" w:space="0" w:color="auto"/>
        <w:left w:val="none" w:sz="0" w:space="0" w:color="auto"/>
        <w:bottom w:val="none" w:sz="0" w:space="0" w:color="auto"/>
        <w:right w:val="none" w:sz="0" w:space="0" w:color="auto"/>
      </w:divBdr>
    </w:div>
    <w:div w:id="593055283">
      <w:bodyDiv w:val="1"/>
      <w:marLeft w:val="0"/>
      <w:marRight w:val="0"/>
      <w:marTop w:val="0"/>
      <w:marBottom w:val="0"/>
      <w:divBdr>
        <w:top w:val="none" w:sz="0" w:space="0" w:color="auto"/>
        <w:left w:val="none" w:sz="0" w:space="0" w:color="auto"/>
        <w:bottom w:val="none" w:sz="0" w:space="0" w:color="auto"/>
        <w:right w:val="none" w:sz="0" w:space="0" w:color="auto"/>
      </w:divBdr>
    </w:div>
    <w:div w:id="1352798766">
      <w:bodyDiv w:val="1"/>
      <w:marLeft w:val="0"/>
      <w:marRight w:val="0"/>
      <w:marTop w:val="0"/>
      <w:marBottom w:val="0"/>
      <w:divBdr>
        <w:top w:val="none" w:sz="0" w:space="0" w:color="auto"/>
        <w:left w:val="none" w:sz="0" w:space="0" w:color="auto"/>
        <w:bottom w:val="none" w:sz="0" w:space="0" w:color="auto"/>
        <w:right w:val="none" w:sz="0" w:space="0" w:color="auto"/>
      </w:divBdr>
    </w:div>
    <w:div w:id="2010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sonline.monash.edu.au/archaeology/publications-related-to-the-excavations-at-kelli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rtsonline.monash.edu.au/archaeology/publications-related-to-the-excavations-at-kellis/" TargetMode="External"/><Relationship Id="rId1" Type="http://schemas.openxmlformats.org/officeDocument/2006/relationships/hyperlink" Target="http://artsonline.monash.edu.au/archaeology/excavations-in-dakhleh-oasis-egyp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2754-1DA6-460D-B152-BEDECFB0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9560</Words>
  <Characters>50674</Characters>
  <Application>Microsoft Office Word</Application>
  <DocSecurity>0</DocSecurity>
  <Lines>422</Lines>
  <Paragraphs>120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dc:creator>
  <cp:lastModifiedBy>jorgen</cp:lastModifiedBy>
  <cp:revision>2</cp:revision>
  <dcterms:created xsi:type="dcterms:W3CDTF">2014-06-29T07:13:00Z</dcterms:created>
  <dcterms:modified xsi:type="dcterms:W3CDTF">2014-06-29T07:13:00Z</dcterms:modified>
</cp:coreProperties>
</file>